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25B77" w14:textId="77777777" w:rsidR="000E3611" w:rsidRDefault="000E3611">
      <w:r w:rsidRPr="000E3611">
        <w:t>Office of Exemption Determinations</w:t>
      </w:r>
    </w:p>
    <w:p w14:paraId="47DBAF89" w14:textId="77777777" w:rsidR="00DE5879" w:rsidRDefault="00DE5879" w:rsidP="00DE5879">
      <w:r>
        <w:t>Employee Benefits Security Administration</w:t>
      </w:r>
    </w:p>
    <w:p w14:paraId="51E9E34D" w14:textId="77777777" w:rsidR="00DE5879" w:rsidRDefault="00015FC0" w:rsidP="00DE5879">
      <w:r>
        <w:t xml:space="preserve">U.S. </w:t>
      </w:r>
      <w:r w:rsidR="00DE5879">
        <w:t>Department of Labor</w:t>
      </w:r>
    </w:p>
    <w:p w14:paraId="14C1D439" w14:textId="77777777" w:rsidR="000E3611" w:rsidRDefault="000E3611">
      <w:r w:rsidRPr="000E3611">
        <w:t>200 Constitution Ave</w:t>
      </w:r>
      <w:r>
        <w:t>., N.W.</w:t>
      </w:r>
    </w:p>
    <w:p w14:paraId="6AF73A9D" w14:textId="77777777" w:rsidR="000E3611" w:rsidRDefault="000E3611">
      <w:r>
        <w:t>Suite 400</w:t>
      </w:r>
      <w:r w:rsidRPr="000E3611">
        <w:br/>
        <w:t>Washington, D</w:t>
      </w:r>
      <w:r>
        <w:t>.</w:t>
      </w:r>
      <w:r w:rsidRPr="000E3611">
        <w:t>C</w:t>
      </w:r>
      <w:r>
        <w:t>.</w:t>
      </w:r>
      <w:r w:rsidRPr="000E3611">
        <w:t xml:space="preserve"> 20210</w:t>
      </w:r>
    </w:p>
    <w:p w14:paraId="299083CF" w14:textId="77777777" w:rsidR="000E3611" w:rsidRDefault="000E3611"/>
    <w:p w14:paraId="281D6FE5" w14:textId="77777777" w:rsidR="000E3611" w:rsidRDefault="000E3611">
      <w:r>
        <w:tab/>
        <w:t>Re:</w:t>
      </w:r>
      <w:r>
        <w:tab/>
        <w:t>Application No. D-12011</w:t>
      </w:r>
    </w:p>
    <w:p w14:paraId="0C5A79EA" w14:textId="77777777" w:rsidR="000E3611" w:rsidRDefault="000E3611" w:rsidP="000E3611">
      <w:pPr>
        <w:ind w:left="720" w:firstLine="720"/>
      </w:pPr>
      <w:r w:rsidRPr="000E3611">
        <w:t>Improving Investment Advice for Workers &amp; Retirees</w:t>
      </w:r>
    </w:p>
    <w:p w14:paraId="0603B1B2" w14:textId="77777777" w:rsidR="000E3611" w:rsidRDefault="000E3611" w:rsidP="000E3611"/>
    <w:p w14:paraId="56C4A92B" w14:textId="77777777" w:rsidR="00B41EB1" w:rsidRDefault="00B41EB1" w:rsidP="000E3611">
      <w:r>
        <w:t>To whom it may concern:</w:t>
      </w:r>
    </w:p>
    <w:p w14:paraId="519AB69A" w14:textId="77777777" w:rsidR="00B41EB1" w:rsidRDefault="00B41EB1" w:rsidP="000E3611"/>
    <w:p w14:paraId="375C25EF" w14:textId="580E6AD9" w:rsidR="00D06760" w:rsidRDefault="00B41EB1" w:rsidP="000E3611">
      <w:r>
        <w:t xml:space="preserve">We are writing on behalf of </w:t>
      </w:r>
      <w:r w:rsidRPr="00027C8D">
        <w:rPr>
          <w:highlight w:val="yellow"/>
        </w:rPr>
        <w:t>[organization</w:t>
      </w:r>
      <w:r>
        <w:t xml:space="preserve">] to express our strong opposition to the proposed new </w:t>
      </w:r>
      <w:r w:rsidR="003C06E2">
        <w:t xml:space="preserve">retirement advice rulemaking package, </w:t>
      </w:r>
      <w:r w:rsidR="003C06E2" w:rsidRPr="003C06E2">
        <w:t xml:space="preserve">including both the final rule reinstating the 1975 regulatory definition of fiduciary investment advice and the proposed exemption allowing investment advice fiduciaries to earn conflicted compensation </w:t>
      </w:r>
      <w:r w:rsidR="003C06E2">
        <w:t xml:space="preserve">when providing </w:t>
      </w:r>
      <w:r>
        <w:t xml:space="preserve">advice regarding retirement plan and individual retirement account (IRA) investments. </w:t>
      </w:r>
      <w:r w:rsidR="003C06E2">
        <w:t xml:space="preserve">Together, these rules </w:t>
      </w:r>
      <w:r w:rsidR="00D06760">
        <w:t xml:space="preserve">would put the retirement security of millions of American workers and retirees at risk by exposing them to conflicted retirement investment advice </w:t>
      </w:r>
      <w:r w:rsidR="003805A3">
        <w:t>without meaningful protections</w:t>
      </w:r>
      <w:r w:rsidR="009563BD">
        <w:t xml:space="preserve"> to limit the harmful impact of those conflicts of interest. We</w:t>
      </w:r>
      <w:r w:rsidR="003C06E2">
        <w:t xml:space="preserve"> therefore</w:t>
      </w:r>
      <w:r w:rsidR="009563BD">
        <w:t xml:space="preserve"> urge you to withdraw the regulatory package in its entirety and to sta</w:t>
      </w:r>
      <w:r w:rsidR="003C06E2">
        <w:t xml:space="preserve">rt from scratch on a rulemaking </w:t>
      </w:r>
      <w:r w:rsidR="009563BD">
        <w:t>approach that prioritizes protecting retirement savers rather than promoting the excess profits of well-healed financial firms.</w:t>
      </w:r>
    </w:p>
    <w:p w14:paraId="6528228E" w14:textId="77777777" w:rsidR="009563BD" w:rsidRDefault="009563BD" w:rsidP="000E3611"/>
    <w:p w14:paraId="4FC28E88" w14:textId="77777777" w:rsidR="009563BD" w:rsidRDefault="009563BD" w:rsidP="000E3611">
      <w:r w:rsidRPr="00027C8D">
        <w:rPr>
          <w:highlight w:val="yellow"/>
        </w:rPr>
        <w:t xml:space="preserve">[INSERT GRAPH DESCRIBING YOUR ORGANIZATION’S ADVOCACY ON BEHALF OF WORKERS AND RETIREES AND </w:t>
      </w:r>
      <w:r w:rsidR="00584CAB" w:rsidRPr="00027C8D">
        <w:rPr>
          <w:highlight w:val="yellow"/>
        </w:rPr>
        <w:t xml:space="preserve">YOUR ORGANIZATION’S </w:t>
      </w:r>
      <w:r w:rsidRPr="00027C8D">
        <w:rPr>
          <w:highlight w:val="yellow"/>
        </w:rPr>
        <w:t>INTEREST IN THE RULE</w:t>
      </w:r>
      <w:proofErr w:type="gramStart"/>
      <w:r w:rsidR="00584CAB" w:rsidRPr="00027C8D">
        <w:rPr>
          <w:highlight w:val="yellow"/>
        </w:rPr>
        <w:t xml:space="preserve">. </w:t>
      </w:r>
      <w:r w:rsidRPr="00027C8D">
        <w:rPr>
          <w:highlight w:val="yellow"/>
        </w:rPr>
        <w:t>]</w:t>
      </w:r>
      <w:proofErr w:type="gramEnd"/>
    </w:p>
    <w:p w14:paraId="75E2D54A" w14:textId="77777777" w:rsidR="00D06760" w:rsidRDefault="00D06760" w:rsidP="000E3611"/>
    <w:p w14:paraId="1A1D6894" w14:textId="77777777" w:rsidR="00DE5879" w:rsidRDefault="00DE5879" w:rsidP="00DE5879"/>
    <w:p w14:paraId="7541B06E" w14:textId="77777777" w:rsidR="00DE5879" w:rsidRDefault="00DE5879" w:rsidP="00DE5879">
      <w:r>
        <w:rPr>
          <w:b/>
        </w:rPr>
        <w:t>Workers and Retirees Need Reliable Retirement Investment Advice</w:t>
      </w:r>
    </w:p>
    <w:p w14:paraId="741A74C7" w14:textId="77777777" w:rsidR="00DE5879" w:rsidRDefault="00DE5879" w:rsidP="00DE5879"/>
    <w:p w14:paraId="35FEEA35" w14:textId="26AC0147" w:rsidR="00015FC0" w:rsidRDefault="009D6314" w:rsidP="00DE5879">
      <w:r>
        <w:t>As defined contribution retire</w:t>
      </w:r>
      <w:r w:rsidR="00027C8D">
        <w:t xml:space="preserve">ment accounts have </w:t>
      </w:r>
      <w:r>
        <w:t xml:space="preserve">replaced defined benefit pensions as the primary form of workplace retirement plan, workers have become increasingly responsible for making the investment decisions necessary to ensure their financial security in retirement. </w:t>
      </w:r>
      <w:r w:rsidRPr="009D6314">
        <w:t>According to Department of Labor data, 93.4 percent of pension plans in 2017 were defined co</w:t>
      </w:r>
      <w:r w:rsidR="00FF30EF">
        <w:t xml:space="preserve">ntribution plans, and roughly </w:t>
      </w:r>
      <w:r w:rsidR="00A542CD">
        <w:t>68 million Americans were responsible for directing some or all of their investments in a 401(k) type retirement plan</w:t>
      </w:r>
      <w:r w:rsidRPr="009D6314">
        <w:t>.</w:t>
      </w:r>
      <w:r w:rsidR="00FF30EF">
        <w:rPr>
          <w:rStyle w:val="FootnoteReference"/>
        </w:rPr>
        <w:footnoteReference w:id="1"/>
      </w:r>
      <w:r w:rsidR="00FF30EF">
        <w:t xml:space="preserve"> </w:t>
      </w:r>
      <w:r w:rsidR="00A542CD">
        <w:t>Millions more, roughly 36 percent of U.S. households, owned an IRA as of mid-2019 either in addition to a workplace retirement plan or as th</w:t>
      </w:r>
      <w:r w:rsidR="00926093">
        <w:t xml:space="preserve">eir only </w:t>
      </w:r>
      <w:r w:rsidR="00A542CD">
        <w:t>retirement</w:t>
      </w:r>
      <w:r w:rsidR="00926093">
        <w:t xml:space="preserve"> account</w:t>
      </w:r>
      <w:r w:rsidR="00A542CD">
        <w:t>, according to the Investment Company Institute.</w:t>
      </w:r>
      <w:r w:rsidR="00FB0B56">
        <w:rPr>
          <w:rStyle w:val="FootnoteReference"/>
        </w:rPr>
        <w:footnoteReference w:id="2"/>
      </w:r>
      <w:r w:rsidR="00A542CD">
        <w:t xml:space="preserve"> </w:t>
      </w:r>
      <w:r w:rsidR="003C06E2">
        <w:t>Meanwhile</w:t>
      </w:r>
      <w:r w:rsidR="00FB0B56">
        <w:t>, the investment choices available to these retiremen</w:t>
      </w:r>
      <w:r w:rsidR="00926093">
        <w:t>t savers have grown far more</w:t>
      </w:r>
      <w:r w:rsidR="00FB0B56">
        <w:t xml:space="preserve"> complex</w:t>
      </w:r>
      <w:r w:rsidR="00926093">
        <w:t xml:space="preserve"> in the years since ERISA was enacted</w:t>
      </w:r>
      <w:r w:rsidR="00FB0B56">
        <w:t>.</w:t>
      </w:r>
    </w:p>
    <w:p w14:paraId="0F6BCD19" w14:textId="77777777" w:rsidR="00FB0B56" w:rsidRDefault="00FB0B56" w:rsidP="00DE5879"/>
    <w:p w14:paraId="35A7E364" w14:textId="49DE8BE5" w:rsidR="00027C8D" w:rsidRDefault="00FB0B56" w:rsidP="00DE5879">
      <w:r>
        <w:t>Unfortunately, the financial sophistication of workers and retirees has not kept pace with their evolving</w:t>
      </w:r>
      <w:r w:rsidR="00E64B00">
        <w:t xml:space="preserve"> responsibilities for their </w:t>
      </w:r>
      <w:r>
        <w:t xml:space="preserve">retirement security. </w:t>
      </w:r>
      <w:r w:rsidR="00E64B00">
        <w:t xml:space="preserve">Unsurprisingly, </w:t>
      </w:r>
      <w:r>
        <w:t>m</w:t>
      </w:r>
      <w:r w:rsidR="00E64B00">
        <w:t xml:space="preserve">any of these </w:t>
      </w:r>
      <w:r w:rsidR="00027C8D">
        <w:t xml:space="preserve">financially unsophisticated retirement savers </w:t>
      </w:r>
      <w:r w:rsidR="00E64B00">
        <w:t>turn to financial professionals f</w:t>
      </w:r>
      <w:r w:rsidR="00027C8D">
        <w:t>or advice about their</w:t>
      </w:r>
      <w:r w:rsidR="00E64B00">
        <w:t xml:space="preserve"> retirement investments. </w:t>
      </w:r>
      <w:r w:rsidR="003805A3">
        <w:t>R</w:t>
      </w:r>
      <w:r w:rsidR="00D74515">
        <w:t xml:space="preserve">egardless of how they are otherwise regulated, </w:t>
      </w:r>
      <w:r w:rsidR="003805A3">
        <w:t xml:space="preserve">many if not most of </w:t>
      </w:r>
      <w:r w:rsidR="00D74515">
        <w:t>the financ</w:t>
      </w:r>
      <w:r w:rsidR="003C06E2">
        <w:t>ial firms and professionals retirement savers</w:t>
      </w:r>
      <w:r w:rsidR="00D74515">
        <w:t xml:space="preserve"> turn to hold themselves out as trusted advice providers. Given how th</w:t>
      </w:r>
      <w:r w:rsidR="003C06E2">
        <w:t xml:space="preserve">ese firms market </w:t>
      </w:r>
      <w:r w:rsidR="00D74515">
        <w:t>their services and the relationships of trust and confidence that they cu</w:t>
      </w:r>
      <w:r w:rsidR="003C06E2">
        <w:t>ltivate with their clients, it is</w:t>
      </w:r>
      <w:r w:rsidR="00D74515">
        <w:t xml:space="preserve"> n</w:t>
      </w:r>
      <w:r w:rsidR="003805A3">
        <w:t>either</w:t>
      </w:r>
      <w:r w:rsidR="00D74515">
        <w:t xml:space="preserve"> surprising </w:t>
      </w:r>
      <w:r w:rsidR="003805A3">
        <w:t xml:space="preserve">nor unreasonable </w:t>
      </w:r>
      <w:r w:rsidR="003C06E2">
        <w:t xml:space="preserve">that retirement savers </w:t>
      </w:r>
      <w:r w:rsidR="00D74515">
        <w:t xml:space="preserve">rely on </w:t>
      </w:r>
      <w:r w:rsidR="003805A3">
        <w:t xml:space="preserve">these </w:t>
      </w:r>
      <w:r w:rsidR="00D74515">
        <w:t>financial professionals</w:t>
      </w:r>
      <w:r w:rsidR="003C06E2">
        <w:t xml:space="preserve"> as fiduciary advisers</w:t>
      </w:r>
      <w:r w:rsidR="00E64B00">
        <w:t>. All too often, however, the financial pro</w:t>
      </w:r>
      <w:r w:rsidR="007F1B93">
        <w:t xml:space="preserve">fessionals they turn to </w:t>
      </w:r>
      <w:r w:rsidR="00E64B00">
        <w:t>operate in a business model that is rife wi</w:t>
      </w:r>
      <w:r w:rsidR="0028492A">
        <w:t>th conflicts of interest</w:t>
      </w:r>
      <w:r w:rsidR="003805A3">
        <w:t xml:space="preserve"> and subject to weak, sales-oriented regulation</w:t>
      </w:r>
      <w:r w:rsidR="0028492A">
        <w:t xml:space="preserve">. </w:t>
      </w:r>
    </w:p>
    <w:p w14:paraId="04CB4CB9" w14:textId="77777777" w:rsidR="00027C8D" w:rsidRDefault="00027C8D" w:rsidP="00DE5879"/>
    <w:p w14:paraId="064AFD13" w14:textId="2FB9CDE5" w:rsidR="00FB0B56" w:rsidRDefault="0028492A" w:rsidP="00DE5879">
      <w:r>
        <w:t>Instead of protecting workers and retirees, the Department’s regulatory proposal wou</w:t>
      </w:r>
      <w:r w:rsidR="007F1B93">
        <w:t xml:space="preserve">ld increase the risk that </w:t>
      </w:r>
      <w:r>
        <w:t>retirement savers would rely on conflicted advice</w:t>
      </w:r>
      <w:r w:rsidR="003805A3">
        <w:t xml:space="preserve">, and sales recommendations dressed up as advice, </w:t>
      </w:r>
      <w:r>
        <w:t xml:space="preserve">while doing little to prevent conflicts </w:t>
      </w:r>
      <w:r w:rsidR="00926093">
        <w:t xml:space="preserve">of interest </w:t>
      </w:r>
      <w:r>
        <w:t>f</w:t>
      </w:r>
      <w:r w:rsidR="00027C8D">
        <w:t>rom tainting that advice</w:t>
      </w:r>
      <w:r>
        <w:t>. As a result, millions of financially vulnerable workers and retirees – individuals who need to make every dollar account – will continue to see billions of dollars a year siphoned out of their retirement accounts to line the pockets of powerful financial firms</w:t>
      </w:r>
      <w:r w:rsidR="00027C8D">
        <w:t xml:space="preserve"> and investment professionals</w:t>
      </w:r>
      <w:r>
        <w:t xml:space="preserve">. </w:t>
      </w:r>
    </w:p>
    <w:p w14:paraId="05DB674C" w14:textId="77777777" w:rsidR="00FD707C" w:rsidRDefault="00FD707C" w:rsidP="00DE5879"/>
    <w:p w14:paraId="60C6F6B3" w14:textId="77777777" w:rsidR="00B91370" w:rsidRDefault="00B91370" w:rsidP="00B91370">
      <w:r>
        <w:rPr>
          <w:b/>
        </w:rPr>
        <w:t xml:space="preserve">The Department Has </w:t>
      </w:r>
      <w:proofErr w:type="gramStart"/>
      <w:r>
        <w:rPr>
          <w:b/>
        </w:rPr>
        <w:t>Made</w:t>
      </w:r>
      <w:proofErr w:type="gramEnd"/>
      <w:r>
        <w:rPr>
          <w:b/>
        </w:rPr>
        <w:t xml:space="preserve"> it Easy for Firms to Evade their Fiduciary Duty Entirely</w:t>
      </w:r>
    </w:p>
    <w:p w14:paraId="4BF31E33" w14:textId="77777777" w:rsidR="00B91370" w:rsidRDefault="00B91370" w:rsidP="00B91370"/>
    <w:p w14:paraId="48DA626B" w14:textId="77777777" w:rsidR="00B91370" w:rsidRDefault="00B91370" w:rsidP="00B91370">
      <w:r>
        <w:t xml:space="preserve">We strongly oppose the Department’s decision to adopt a final rule reinstating the deeply flawed 1975 regulatory definition of fiduciary investment advice, with its five-part test, without even considering whether the definition should be revised to better protect retirement savers. By doing so, </w:t>
      </w:r>
      <w:r w:rsidRPr="009A3925">
        <w:t>the Department</w:t>
      </w:r>
      <w:r>
        <w:t xml:space="preserve"> is ensuring that most of the advice retirement savers rely on, including most rollover recommendations, will not be held to a fiduciary standard at all. Extensive changes to the definition are needed, including with regard to its application to rollovers, if retirement savers are to be adequately protected.</w:t>
      </w:r>
    </w:p>
    <w:p w14:paraId="7CFE7F2E" w14:textId="77777777" w:rsidR="00B91370" w:rsidRDefault="00B91370" w:rsidP="00B91370"/>
    <w:p w14:paraId="4A61FF85" w14:textId="707CA23C" w:rsidR="00B91370" w:rsidRDefault="00B91370" w:rsidP="00B91370">
      <w:r>
        <w:t>Under the definition, only advice that is prov</w:t>
      </w:r>
      <w:r w:rsidR="003C06E2">
        <w:t>ided on a regular basis is</w:t>
      </w:r>
      <w:r>
        <w:t xml:space="preserve"> considered fiduciary investment advice. As a result, one-time recommendations, no matter how consequential, are carved out. When a firm does provide</w:t>
      </w:r>
      <w:r w:rsidR="00926093">
        <w:t xml:space="preserve"> advice on a regular basis, it can still evade its</w:t>
      </w:r>
      <w:r>
        <w:t xml:space="preserve"> fiduci</w:t>
      </w:r>
      <w:r w:rsidR="00926093">
        <w:t>ary obligations by claiming it never intended for the</w:t>
      </w:r>
      <w:r>
        <w:t xml:space="preserve"> advice to serve as “a primary basis” for the retirement saver’s investment decision. As a result</w:t>
      </w:r>
      <w:r w:rsidRPr="000514DC">
        <w:t>, financial firms and investment professionals will only be retirement investment advice fiduciaries when they choose to be</w:t>
      </w:r>
      <w:r w:rsidR="00926093">
        <w:t>, even as</w:t>
      </w:r>
      <w:r>
        <w:t xml:space="preserve"> they market themselves as trusted advisers and offer services retirement savers will reasonably rely on as fiduciary advice</w:t>
      </w:r>
      <w:r w:rsidRPr="000514DC">
        <w:t>.</w:t>
      </w:r>
      <w:r>
        <w:t xml:space="preserve"> </w:t>
      </w:r>
    </w:p>
    <w:p w14:paraId="2C947C3E" w14:textId="77777777" w:rsidR="00B91370" w:rsidRDefault="00B91370" w:rsidP="00B91370"/>
    <w:p w14:paraId="576F11B7" w14:textId="24195AD9" w:rsidR="00B91370" w:rsidRDefault="003C06E2" w:rsidP="00B91370">
      <w:r>
        <w:t>As a practical matter, reinstating the five-part test</w:t>
      </w:r>
      <w:r w:rsidR="00B91370">
        <w:t xml:space="preserve"> also means that advice to retirement plan fiduciaries will virtually never be considered fiduciary investment advice. Workers will continue to suffer the consequences in the form of workplace retirement plans loaded up with high-cost, substandard investment options that erode the retirement savings of financially vulnerable retirement savers. They will lose out on billions of dollars in potential retirement savings as a result.</w:t>
      </w:r>
    </w:p>
    <w:p w14:paraId="5B07865A" w14:textId="77777777" w:rsidR="00B91370" w:rsidRDefault="00B91370" w:rsidP="00B91370"/>
    <w:p w14:paraId="4ABA019D" w14:textId="275E974A" w:rsidR="00B91370" w:rsidRPr="00C547F1" w:rsidRDefault="00B91370" w:rsidP="00B91370">
      <w:r>
        <w:lastRenderedPageBreak/>
        <w:t>The impact on rollover recommendations will be particularly harmful. The Department pretends to extend new protections to rollover recommendations, by virtue of the fact that it has not rei</w:t>
      </w:r>
      <w:r w:rsidR="007C63E3">
        <w:t>nstated a 2005 advisory opinion</w:t>
      </w:r>
      <w:r>
        <w:t xml:space="preserve"> </w:t>
      </w:r>
      <w:r w:rsidR="007C63E3">
        <w:t>that</w:t>
      </w:r>
      <w:r>
        <w:t xml:space="preserve"> took the absurd position that advice to roll assets out of a plan did not generally constitute fiduciary investment advice. However, by requiring rollover recommendations to satisfy all five parts of the five-part test, the DOL accomplishes much the same thing. Only rollovers to an ongoing advisory relationship will satisfy the requirement that the advice be provided on a regular basis. </w:t>
      </w:r>
      <w:r w:rsidRPr="00C547F1">
        <w:t xml:space="preserve">As a practical matter, this means that </w:t>
      </w:r>
      <w:r>
        <w:t>few</w:t>
      </w:r>
      <w:r w:rsidRPr="00C547F1">
        <w:t xml:space="preserve"> rollovers </w:t>
      </w:r>
      <w:r>
        <w:t xml:space="preserve">beyond those </w:t>
      </w:r>
      <w:r w:rsidRPr="00C547F1">
        <w:t xml:space="preserve">that are already subject </w:t>
      </w:r>
      <w:r>
        <w:t xml:space="preserve">to </w:t>
      </w:r>
      <w:r w:rsidRPr="00C547F1">
        <w:t xml:space="preserve">regulation under securities laws are likely to be covered by the DOL standard. </w:t>
      </w:r>
    </w:p>
    <w:p w14:paraId="5CDCB27C" w14:textId="77777777" w:rsidR="00B91370" w:rsidRDefault="00B91370" w:rsidP="00B91370"/>
    <w:p w14:paraId="19B81FB5" w14:textId="77777777" w:rsidR="00B91370" w:rsidRDefault="00B91370" w:rsidP="00B91370">
      <w:r w:rsidRPr="00F8066F">
        <w:t xml:space="preserve">When it comes to </w:t>
      </w:r>
      <w:r>
        <w:t xml:space="preserve">recommendations to </w:t>
      </w:r>
      <w:r w:rsidRPr="00F8066F">
        <w:t xml:space="preserve">rollover to non-securities, the DOL standards will seldom if ever apply. </w:t>
      </w:r>
      <w:r>
        <w:t xml:space="preserve">For example, the Department is explicit in stating that a one-time recommendation to roll assets out of a plan to purchase an annuity would not be considered fiduciary investment advice. But this is </w:t>
      </w:r>
      <w:r w:rsidRPr="00F8066F">
        <w:t>precisely where the protections of a fiduciary standard are needed most. Non-securities, including certain annuities, commodities, and real estate, are among the most complex, opaque, illiquid, and costly investments sold to retail investors. They are typically sold subject to some of the most toxic compensation conflicts and the weakest sales standards.</w:t>
      </w:r>
      <w:r>
        <w:t xml:space="preserve"> </w:t>
      </w:r>
    </w:p>
    <w:p w14:paraId="47A5225E" w14:textId="77777777" w:rsidR="00B91370" w:rsidRDefault="00B91370" w:rsidP="00B91370"/>
    <w:p w14:paraId="25245228" w14:textId="77777777" w:rsidR="00B91370" w:rsidRDefault="00B91370" w:rsidP="00B91370">
      <w:r>
        <w:t xml:space="preserve">By specifically excluding these recommendations from the definition of fiduciary investment advice, the Department unleashes financial professionals to </w:t>
      </w:r>
      <w:r w:rsidRPr="00F8066F">
        <w:t>advise retirement savers to take a lifetime of hard-earned savings and plunge it into a high-cost, low-quality investment that saddles the retirement saver with excessive risks and substandard returns</w:t>
      </w:r>
      <w:r>
        <w:t>. Misled into relying on these recommendations as trusted advice, workers and retirees are likely to lose billions of dollars a year as a result of this bad advice.</w:t>
      </w:r>
    </w:p>
    <w:p w14:paraId="7D70927B" w14:textId="77777777" w:rsidR="00B91370" w:rsidRDefault="00B91370" w:rsidP="00B91370"/>
    <w:p w14:paraId="62B08399" w14:textId="77777777" w:rsidR="00B91370" w:rsidRDefault="00B91370" w:rsidP="00B91370">
      <w:r>
        <w:t>Because</w:t>
      </w:r>
      <w:r w:rsidRPr="006B028A">
        <w:t xml:space="preserve"> it strips retirement savers of the protections of a fiduciary standard precisely when the risks to the investor and </w:t>
      </w:r>
      <w:r>
        <w:t xml:space="preserve">the </w:t>
      </w:r>
      <w:r w:rsidRPr="006B028A">
        <w:t>conflicts of interest are greatest</w:t>
      </w:r>
      <w:r>
        <w:t xml:space="preserve">, we urge you to withdraw this final rule and begin again on a definition of fiduciary investment advice that ensures that the full range of advisory services reasonably relied on by retirement savers as fiduciary investment advice is captured by the definition. </w:t>
      </w:r>
    </w:p>
    <w:p w14:paraId="577D35D8" w14:textId="77777777" w:rsidR="00B91370" w:rsidRDefault="00B91370" w:rsidP="00B91370"/>
    <w:p w14:paraId="4D167439" w14:textId="60624C35" w:rsidR="00FD707C" w:rsidRDefault="00D74515" w:rsidP="00DE5879">
      <w:r>
        <w:rPr>
          <w:b/>
        </w:rPr>
        <w:t>T</w:t>
      </w:r>
      <w:r w:rsidR="00FD707C">
        <w:rPr>
          <w:b/>
        </w:rPr>
        <w:t xml:space="preserve">he Proposed </w:t>
      </w:r>
      <w:r>
        <w:rPr>
          <w:b/>
        </w:rPr>
        <w:t xml:space="preserve">Exemption Would </w:t>
      </w:r>
      <w:r w:rsidR="00FD707C">
        <w:rPr>
          <w:b/>
        </w:rPr>
        <w:t>Not Protect Retirement Savers from the Harmful Impact of Conflicted Advice</w:t>
      </w:r>
    </w:p>
    <w:p w14:paraId="71758F96" w14:textId="77777777" w:rsidR="00FD707C" w:rsidRDefault="00FD707C" w:rsidP="00DE5879"/>
    <w:p w14:paraId="4B3B0085" w14:textId="4CE358D4" w:rsidR="00FD707C" w:rsidRDefault="00B91370" w:rsidP="00D74515">
      <w:r>
        <w:t>In addition to reopening loopholes in the definition of fiduciary investment advice, t</w:t>
      </w:r>
      <w:r w:rsidR="00FD707C">
        <w:t xml:space="preserve">he Department is proposing a </w:t>
      </w:r>
      <w:r w:rsidR="00027C8D">
        <w:t xml:space="preserve">broad </w:t>
      </w:r>
      <w:r w:rsidR="00FD707C">
        <w:t xml:space="preserve">new exemption </w:t>
      </w:r>
      <w:r w:rsidR="00027C8D">
        <w:t>to the prohibited transaction provisions under ERISA and the tax</w:t>
      </w:r>
      <w:r w:rsidR="000F6C64">
        <w:t xml:space="preserve"> code</w:t>
      </w:r>
      <w:r w:rsidR="00926093">
        <w:t>. It</w:t>
      </w:r>
      <w:r w:rsidR="00FD707C">
        <w:t xml:space="preserve"> would allow investment advice fiduciaries who g</w:t>
      </w:r>
      <w:r w:rsidR="00027C8D">
        <w:t xml:space="preserve">ive advice with respect to </w:t>
      </w:r>
      <w:r w:rsidR="00FD707C">
        <w:t>workpl</w:t>
      </w:r>
      <w:r w:rsidR="00B05A7F">
        <w:t xml:space="preserve">ace retirement plan </w:t>
      </w:r>
      <w:r w:rsidR="00FD707C">
        <w:t>and IRA</w:t>
      </w:r>
      <w:r w:rsidR="00B05A7F">
        <w:t xml:space="preserve"> investment</w:t>
      </w:r>
      <w:r w:rsidR="00FD707C">
        <w:t xml:space="preserve">s to receive </w:t>
      </w:r>
      <w:r w:rsidR="00D74515">
        <w:t>conflicted</w:t>
      </w:r>
      <w:r w:rsidR="00FD707C">
        <w:t xml:space="preserve"> compensation that would otherw</w:t>
      </w:r>
      <w:r w:rsidR="00027C8D">
        <w:t>ise by prohibited</w:t>
      </w:r>
      <w:r w:rsidR="00FD707C">
        <w:t>.</w:t>
      </w:r>
      <w:r w:rsidR="00003B93">
        <w:t xml:space="preserve"> </w:t>
      </w:r>
      <w:r w:rsidR="00D74515">
        <w:t>The proposed exemption is largely based on the Securities and Exchange Commission’s (SEC’s) recently implemented Regulation Best Interest (Reg. BI). Unfortunately, Reg. BI was drafted</w:t>
      </w:r>
      <w:r w:rsidR="007C63E3">
        <w:t>,</w:t>
      </w:r>
      <w:r w:rsidR="00D74515">
        <w:t xml:space="preserve"> not to </w:t>
      </w:r>
      <w:r>
        <w:t>protect investors from the</w:t>
      </w:r>
      <w:r w:rsidR="00D74515">
        <w:t xml:space="preserve"> harmful </w:t>
      </w:r>
      <w:r>
        <w:t xml:space="preserve">impact of </w:t>
      </w:r>
      <w:r w:rsidR="00D74515">
        <w:t>conflicts of interest within the broker-dealer business model</w:t>
      </w:r>
      <w:r w:rsidR="007C63E3">
        <w:t xml:space="preserve">, but </w:t>
      </w:r>
      <w:r w:rsidR="00D74515">
        <w:t>to preserve the broker</w:t>
      </w:r>
      <w:r>
        <w:t>age</w:t>
      </w:r>
      <w:r w:rsidR="00D74515">
        <w:t xml:space="preserve"> industry’s ability to engage in a </w:t>
      </w:r>
      <w:r w:rsidR="00926093">
        <w:t>variety of practices</w:t>
      </w:r>
      <w:r w:rsidR="00D74515">
        <w:t xml:space="preserve"> that </w:t>
      </w:r>
      <w:r w:rsidR="00721D86">
        <w:t>are profitable for brokers but harmful for</w:t>
      </w:r>
      <w:r w:rsidR="00D74515">
        <w:t xml:space="preserve"> investors. Importing such an industry</w:t>
      </w:r>
      <w:r>
        <w:t>-</w:t>
      </w:r>
      <w:r w:rsidR="00D74515">
        <w:t xml:space="preserve">friendly approach into the retirement context will only </w:t>
      </w:r>
      <w:r>
        <w:t>increase</w:t>
      </w:r>
      <w:r w:rsidR="00D74515">
        <w:t xml:space="preserve"> the harm that retirement savers suffer when they receive conflicted advice.  </w:t>
      </w:r>
    </w:p>
    <w:p w14:paraId="318FB965" w14:textId="77777777" w:rsidR="001A027F" w:rsidRDefault="001A027F" w:rsidP="007474A8"/>
    <w:p w14:paraId="71C831AD" w14:textId="6446B85D" w:rsidR="00B05A7F" w:rsidRPr="002A09A6" w:rsidRDefault="00D74515" w:rsidP="001A027F">
      <w:r>
        <w:lastRenderedPageBreak/>
        <w:t>Among the primary deficiencies in Reg. BI that the Department incorporates into the</w:t>
      </w:r>
      <w:r w:rsidR="007C63E3">
        <w:t xml:space="preserve"> proposed exemption is its</w:t>
      </w:r>
      <w:r>
        <w:t xml:space="preserve"> meaningless “best interest” standard. The SEC explicitly </w:t>
      </w:r>
      <w:r w:rsidR="007C63E3">
        <w:t>acknowledged</w:t>
      </w:r>
      <w:r w:rsidR="00A62EEB">
        <w:t xml:space="preserve"> </w:t>
      </w:r>
      <w:r w:rsidR="00B91370">
        <w:t xml:space="preserve">in adopting </w:t>
      </w:r>
      <w:r w:rsidR="00AA0F4E">
        <w:t xml:space="preserve">Reg. BI </w:t>
      </w:r>
      <w:r w:rsidR="00B91370">
        <w:t xml:space="preserve">that it </w:t>
      </w:r>
      <w:r w:rsidR="00AA0F4E">
        <w:t>is not a fiduciary standard</w:t>
      </w:r>
      <w:r w:rsidR="00B91370">
        <w:t xml:space="preserve">. Moreover, the SEC has made clear that </w:t>
      </w:r>
      <w:r w:rsidR="007C63E3">
        <w:t>it</w:t>
      </w:r>
      <w:r>
        <w:t xml:space="preserve"> will not </w:t>
      </w:r>
      <w:r w:rsidR="001A027F">
        <w:t>interpret</w:t>
      </w:r>
      <w:r w:rsidR="007C63E3">
        <w:t xml:space="preserve"> Reg. BI’s</w:t>
      </w:r>
      <w:r>
        <w:t xml:space="preserve"> non-fiduciary “best interest” standard to require what any reasonable person would expect </w:t>
      </w:r>
      <w:r w:rsidR="007C63E3">
        <w:t>–</w:t>
      </w:r>
      <w:r>
        <w:t xml:space="preserve"> that the broker must </w:t>
      </w:r>
      <w:r w:rsidR="001A027F">
        <w:t>recommend the investment</w:t>
      </w:r>
      <w:r>
        <w:t>s</w:t>
      </w:r>
      <w:r w:rsidR="001A027F">
        <w:t xml:space="preserve"> </w:t>
      </w:r>
      <w:r>
        <w:t>she</w:t>
      </w:r>
      <w:r w:rsidR="001A027F">
        <w:t xml:space="preserve"> reasonably believes </w:t>
      </w:r>
      <w:r>
        <w:t xml:space="preserve">are </w:t>
      </w:r>
      <w:r w:rsidR="001A027F">
        <w:t xml:space="preserve">the best available </w:t>
      </w:r>
      <w:r w:rsidR="00B91370">
        <w:t xml:space="preserve">option </w:t>
      </w:r>
      <w:r w:rsidR="001A027F">
        <w:t>for the investor</w:t>
      </w:r>
      <w:r w:rsidR="007C63E3">
        <w:t xml:space="preserve"> from among those she has</w:t>
      </w:r>
      <w:r w:rsidR="00B91370">
        <w:t xml:space="preserve"> available to recommend</w:t>
      </w:r>
      <w:r w:rsidR="00AA0F4E">
        <w:t>. I</w:t>
      </w:r>
      <w:r w:rsidR="001A027F">
        <w:t>nstead</w:t>
      </w:r>
      <w:r>
        <w:t xml:space="preserve"> of explaining what “best interest” </w:t>
      </w:r>
      <w:r w:rsidR="00B91370">
        <w:t>means</w:t>
      </w:r>
      <w:r>
        <w:t>, the SEC has provided virtually unfettered disc</w:t>
      </w:r>
      <w:r w:rsidR="00A62EEB">
        <w:t xml:space="preserve">retion </w:t>
      </w:r>
      <w:r>
        <w:t xml:space="preserve">to firms to decide for themselves </w:t>
      </w:r>
      <w:r w:rsidR="00A62EEB">
        <w:t>how to comply with the best interest standard</w:t>
      </w:r>
      <w:r>
        <w:t xml:space="preserve">. As a result, it’s not clear to what extent, if any, Reg. BI </w:t>
      </w:r>
      <w:r w:rsidR="00A62EEB">
        <w:t xml:space="preserve">actually raises the standard above </w:t>
      </w:r>
      <w:r>
        <w:t>the FINRA suitability framework</w:t>
      </w:r>
      <w:r w:rsidR="00A62EEB">
        <w:t>. Under FINRA suitability, however</w:t>
      </w:r>
      <w:r>
        <w:t xml:space="preserve">, firms </w:t>
      </w:r>
      <w:r w:rsidR="00A62EEB">
        <w:t xml:space="preserve">have been permitted </w:t>
      </w:r>
      <w:r>
        <w:t xml:space="preserve">to </w:t>
      </w:r>
      <w:r w:rsidR="00A62EEB">
        <w:t xml:space="preserve">recommend the </w:t>
      </w:r>
      <w:r w:rsidRPr="00D74515">
        <w:rPr>
          <w:rFonts w:eastAsia="Times New Roman" w:cs="Times New Roman"/>
          <w:szCs w:val="24"/>
        </w:rPr>
        <w:t>high-cost, low-quality investment</w:t>
      </w:r>
      <w:r>
        <w:rPr>
          <w:rFonts w:eastAsia="Times New Roman" w:cs="Times New Roman"/>
          <w:szCs w:val="24"/>
        </w:rPr>
        <w:t>s</w:t>
      </w:r>
      <w:r w:rsidRPr="00D74515">
        <w:rPr>
          <w:rFonts w:eastAsia="Times New Roman" w:cs="Times New Roman"/>
          <w:szCs w:val="24"/>
        </w:rPr>
        <w:t xml:space="preserve"> that </w:t>
      </w:r>
      <w:r w:rsidR="007C63E3">
        <w:rPr>
          <w:rFonts w:eastAsia="Times New Roman" w:cs="Times New Roman"/>
          <w:szCs w:val="24"/>
        </w:rPr>
        <w:t xml:space="preserve">pay them more, but </w:t>
      </w:r>
      <w:r w:rsidRPr="00D74515">
        <w:rPr>
          <w:rFonts w:eastAsia="Times New Roman" w:cs="Times New Roman"/>
          <w:szCs w:val="24"/>
        </w:rPr>
        <w:t xml:space="preserve">saddle the </w:t>
      </w:r>
      <w:r>
        <w:rPr>
          <w:rFonts w:eastAsia="Times New Roman" w:cs="Times New Roman"/>
          <w:szCs w:val="24"/>
        </w:rPr>
        <w:t>investor</w:t>
      </w:r>
      <w:r w:rsidRPr="00D74515">
        <w:rPr>
          <w:rFonts w:eastAsia="Times New Roman" w:cs="Times New Roman"/>
          <w:szCs w:val="24"/>
        </w:rPr>
        <w:t xml:space="preserve"> with excessive risks and substandard returns</w:t>
      </w:r>
      <w:r w:rsidR="00A62EEB">
        <w:rPr>
          <w:rFonts w:eastAsia="Times New Roman" w:cs="Times New Roman"/>
          <w:szCs w:val="24"/>
        </w:rPr>
        <w:t>, instead of those that are best for the investor</w:t>
      </w:r>
      <w:r>
        <w:rPr>
          <w:rFonts w:eastAsia="Times New Roman" w:cs="Times New Roman"/>
          <w:szCs w:val="24"/>
        </w:rPr>
        <w:t>.</w:t>
      </w:r>
      <w:r w:rsidR="00A62EEB">
        <w:rPr>
          <w:rFonts w:eastAsia="Times New Roman" w:cs="Times New Roman"/>
          <w:szCs w:val="24"/>
        </w:rPr>
        <w:t xml:space="preserve"> </w:t>
      </w:r>
      <w:r w:rsidR="002A09A6">
        <w:rPr>
          <w:rFonts w:eastAsia="Times New Roman" w:cs="Times New Roman"/>
          <w:szCs w:val="24"/>
        </w:rPr>
        <w:t>For all these reasons</w:t>
      </w:r>
      <w:r w:rsidR="001A027F">
        <w:t xml:space="preserve">, </w:t>
      </w:r>
      <w:r>
        <w:t xml:space="preserve">Reg. BI </w:t>
      </w:r>
      <w:r w:rsidR="001A027F">
        <w:t>cannot serve as an appropriate basis for compliance with ERISA’s high fiduciary standard.</w:t>
      </w:r>
    </w:p>
    <w:p w14:paraId="2826BFD2" w14:textId="77777777" w:rsidR="007474A8" w:rsidRDefault="007474A8" w:rsidP="007474A8">
      <w:pPr>
        <w:pStyle w:val="ListParagraph"/>
      </w:pPr>
    </w:p>
    <w:p w14:paraId="34ACAB3B" w14:textId="66DAC703" w:rsidR="002A09A6" w:rsidRDefault="001A027F" w:rsidP="00D74515">
      <w:r>
        <w:t>There are similar problems with the proposed exemption</w:t>
      </w:r>
      <w:r w:rsidR="00D74515">
        <w:t>’</w:t>
      </w:r>
      <w:r>
        <w:t xml:space="preserve">s </w:t>
      </w:r>
      <w:r w:rsidR="00A62EEB">
        <w:t>require</w:t>
      </w:r>
      <w:r w:rsidR="002A09A6">
        <w:t>ment that firms</w:t>
      </w:r>
      <w:r w:rsidR="00A62EEB">
        <w:t xml:space="preserve"> </w:t>
      </w:r>
      <w:r w:rsidR="007C63E3">
        <w:t>mitigate</w:t>
      </w:r>
      <w:r>
        <w:t xml:space="preserve"> conflicts of interest</w:t>
      </w:r>
      <w:r w:rsidR="00D74515">
        <w:t xml:space="preserve">, which is also </w:t>
      </w:r>
      <w:r w:rsidR="00AA0F4E">
        <w:t xml:space="preserve">modeled on </w:t>
      </w:r>
      <w:r>
        <w:t xml:space="preserve">Reg. BI. </w:t>
      </w:r>
      <w:r w:rsidR="00D74515">
        <w:t>Here again, the SEC refused to say what types of conflicts of interest if any, that are currently permitted under the FINRA suitability framework, would be prohibited under Reg. BI</w:t>
      </w:r>
      <w:r w:rsidR="00A571B6">
        <w:t xml:space="preserve"> or </w:t>
      </w:r>
      <w:r w:rsidR="002A09A6">
        <w:t xml:space="preserve">provide any guidance on </w:t>
      </w:r>
      <w:r w:rsidR="00A571B6">
        <w:t>how permitted conflicts would have to be “mitigated”</w:t>
      </w:r>
      <w:r w:rsidR="00D74515">
        <w:t xml:space="preserve"> </w:t>
      </w:r>
      <w:r w:rsidR="002A09A6">
        <w:t xml:space="preserve">to satisfy the standard. </w:t>
      </w:r>
      <w:r w:rsidR="00D74515">
        <w:t xml:space="preserve">Rather, the loud and clear signal that the SEC has sent is that firms can continue to structure their compensation and incentives in ways that are reasonably likely to encourage and reward harmful advice. For example, Reg. BI explicitly allows firms to continue to pay differential compensation to their registered representatives, which creates the incentive to recommend products that pay </w:t>
      </w:r>
      <w:r w:rsidR="007C63E3">
        <w:t>the highest</w:t>
      </w:r>
      <w:r w:rsidR="00D74515">
        <w:t xml:space="preserve"> compensation</w:t>
      </w:r>
      <w:r w:rsidR="007C63E3">
        <w:t>, even when</w:t>
      </w:r>
      <w:r w:rsidR="00D74515">
        <w:t xml:space="preserve"> alternatives </w:t>
      </w:r>
      <w:r w:rsidR="007C63E3">
        <w:t xml:space="preserve">are reasonably available </w:t>
      </w:r>
      <w:r w:rsidR="00D74515">
        <w:t xml:space="preserve">that would be a better fit for the investor. In addition, Reg. BI explicitly allows firms to use </w:t>
      </w:r>
      <w:r w:rsidR="00A62EEB">
        <w:t xml:space="preserve">a wide variety of </w:t>
      </w:r>
      <w:r w:rsidR="00D74515">
        <w:t xml:space="preserve">sales contests, quotas, trips, and other special awards to encourage and reward production. These perverse incentives work to undermine rather than promote clients’ best interest. </w:t>
      </w:r>
      <w:r w:rsidR="002A09A6">
        <w:t xml:space="preserve">Production incentives, for example, encourage rollovers regardless of whether that is in the customer’s best interests. </w:t>
      </w:r>
    </w:p>
    <w:p w14:paraId="7199AC6F" w14:textId="0EFDAB98" w:rsidR="00AA0F4E" w:rsidRDefault="00A62EEB" w:rsidP="00D74515">
      <w:r>
        <w:t xml:space="preserve">By </w:t>
      </w:r>
      <w:r w:rsidR="00D74515">
        <w:t>echoing Reg.</w:t>
      </w:r>
      <w:r w:rsidR="00A571B6">
        <w:t xml:space="preserve"> BI’s lax guidance on mitigating</w:t>
      </w:r>
      <w:r w:rsidR="00D74515">
        <w:t xml:space="preserve"> conflicts of interest, the DOL is sending the same message as the SEC – that the vast majority of conflicted practices can continue unabated under the proposed exemption. </w:t>
      </w:r>
    </w:p>
    <w:p w14:paraId="2F7913AA" w14:textId="77777777" w:rsidR="007474A8" w:rsidRDefault="007474A8" w:rsidP="007474A8"/>
    <w:p w14:paraId="52F4259E" w14:textId="7211AA0F" w:rsidR="007474A8" w:rsidRDefault="00D74515" w:rsidP="001A027F">
      <w:r>
        <w:t>Making matters worse</w:t>
      </w:r>
      <w:r w:rsidR="009A3925">
        <w:t>, the</w:t>
      </w:r>
      <w:r>
        <w:t xml:space="preserve"> exemption’s</w:t>
      </w:r>
      <w:r w:rsidR="009A3925">
        <w:t xml:space="preserve"> </w:t>
      </w:r>
      <w:r>
        <w:t xml:space="preserve">weak </w:t>
      </w:r>
      <w:r w:rsidR="009A3925">
        <w:t xml:space="preserve">standard will be unenforceable for the millions of Americans who save for retirement through IRAs. </w:t>
      </w:r>
      <w:r w:rsidR="007474A8">
        <w:t>Th</w:t>
      </w:r>
      <w:r w:rsidR="009A3925">
        <w:t>at’s because th</w:t>
      </w:r>
      <w:r w:rsidR="007474A8">
        <w:t xml:space="preserve">ere is no meaningful enforcement mechanism for IRA investors under the proposed exemption. The Department explicitly states </w:t>
      </w:r>
      <w:r w:rsidR="009A3925">
        <w:t xml:space="preserve">in the </w:t>
      </w:r>
      <w:r w:rsidR="002A09A6">
        <w:t xml:space="preserve">rule proposal </w:t>
      </w:r>
      <w:r>
        <w:t xml:space="preserve">preamble </w:t>
      </w:r>
      <w:r w:rsidR="007474A8">
        <w:t>that the standard does not create a private right of action</w:t>
      </w:r>
      <w:r w:rsidR="009A3925">
        <w:t>, and DOL itself has no authority to enforce the standard as it applies to IRAs</w:t>
      </w:r>
      <w:r w:rsidR="007474A8">
        <w:t>. As a result, IRA investors who are financial</w:t>
      </w:r>
      <w:r w:rsidR="00B0032A">
        <w:t>ly</w:t>
      </w:r>
      <w:r w:rsidR="007474A8">
        <w:t xml:space="preserve"> harm</w:t>
      </w:r>
      <w:r w:rsidR="00B0032A">
        <w:t>ed by</w:t>
      </w:r>
      <w:r w:rsidR="007474A8">
        <w:t xml:space="preserve"> the conflicted advice unleashed by this proposal would have no recourse and no ability to r</w:t>
      </w:r>
      <w:r w:rsidR="00B0032A">
        <w:t xml:space="preserve">ecover their losses. In consequence, there will </w:t>
      </w:r>
      <w:r w:rsidR="007474A8">
        <w:t xml:space="preserve">be little incentive for </w:t>
      </w:r>
      <w:r w:rsidR="00B0032A">
        <w:t xml:space="preserve">firms to comply with the </w:t>
      </w:r>
      <w:r w:rsidR="001C76D0">
        <w:t>amendment’s requirement</w:t>
      </w:r>
      <w:r w:rsidR="00B0032A">
        <w:t>s</w:t>
      </w:r>
      <w:r w:rsidR="009A3925">
        <w:t xml:space="preserve"> when advising IRA investors</w:t>
      </w:r>
      <w:r w:rsidR="007474A8">
        <w:t>.</w:t>
      </w:r>
    </w:p>
    <w:p w14:paraId="7B53F576" w14:textId="77777777" w:rsidR="007474A8" w:rsidRDefault="007474A8" w:rsidP="007474A8">
      <w:pPr>
        <w:pStyle w:val="ListParagraph"/>
      </w:pPr>
    </w:p>
    <w:p w14:paraId="5EFCB29E" w14:textId="77777777" w:rsidR="007474A8" w:rsidRDefault="007474A8" w:rsidP="007474A8">
      <w:r>
        <w:t xml:space="preserve">Taken together, </w:t>
      </w:r>
      <w:r w:rsidR="00B0032A">
        <w:t xml:space="preserve">these fatal flaws in the proposal dramatically increase the risk that retirement savers will rely on investment advice that is tainted by conflicts of interest, and suffer serious financial harm as a result. </w:t>
      </w:r>
      <w:r w:rsidR="009A3925">
        <w:t>For this reason, the Department cannot reasonably conclude that the exemption is sufficiently protective for retirement plans, plan participants, or IRA investors.</w:t>
      </w:r>
    </w:p>
    <w:p w14:paraId="65C52EE0" w14:textId="77777777" w:rsidR="00584CAB" w:rsidRPr="009A3925" w:rsidRDefault="009A3925" w:rsidP="009A3925">
      <w:pPr>
        <w:rPr>
          <w:b/>
        </w:rPr>
      </w:pPr>
      <w:r>
        <w:rPr>
          <w:b/>
        </w:rPr>
        <w:lastRenderedPageBreak/>
        <w:t>Conclusion</w:t>
      </w:r>
    </w:p>
    <w:p w14:paraId="58A43299" w14:textId="77777777" w:rsidR="000E3611" w:rsidRDefault="000E3611"/>
    <w:p w14:paraId="2E35EEA6" w14:textId="77777777" w:rsidR="00027C8D" w:rsidRDefault="00027C8D" w:rsidP="00027C8D">
      <w:r>
        <w:t>The Depa</w:t>
      </w:r>
      <w:r w:rsidR="00F8066F">
        <w:t>rtment cynically claims that this regulatory package</w:t>
      </w:r>
      <w:r>
        <w:t xml:space="preserve"> is designed to improve investment advice for workers and retirees. It is clear, however, that the real goal is to protect the profitability of broker-dealers, insurance companies, and other financial institutions, even if it means sacrificing the retirement security of millions of Americans in the process. </w:t>
      </w:r>
      <w:r w:rsidR="00E750F9">
        <w:t>Because this proposal would expose retirement savers to increased risk and deprive them of essential protections under ERISA and the tax code, we urge you to withdraw the rule in its entirety.</w:t>
      </w:r>
    </w:p>
    <w:p w14:paraId="661132B0" w14:textId="77777777" w:rsidR="000E3611" w:rsidRDefault="000E3611">
      <w:bookmarkStart w:id="0" w:name="_GoBack"/>
      <w:bookmarkEnd w:id="0"/>
    </w:p>
    <w:sectPr w:rsidR="000E36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D3BB34" w16cid:durableId="22AEC3E1"/>
  <w16cid:commentId w16cid:paraId="1CC1BB38" w16cid:durableId="22AEC378"/>
  <w16cid:commentId w16cid:paraId="516DBA63" w16cid:durableId="22AED8AF"/>
  <w16cid:commentId w16cid:paraId="7A0F33B5" w16cid:durableId="22AECDAA"/>
  <w16cid:commentId w16cid:paraId="72940EB0" w16cid:durableId="22AECF3C"/>
  <w16cid:commentId w16cid:paraId="4FF445FE" w16cid:durableId="22AECF60"/>
  <w16cid:commentId w16cid:paraId="3BE26122" w16cid:durableId="22AEC834"/>
  <w16cid:commentId w16cid:paraId="7650C66D" w16cid:durableId="22AEE17C"/>
  <w16cid:commentId w16cid:paraId="5A0BD06A" w16cid:durableId="22AEC946"/>
  <w16cid:commentId w16cid:paraId="2E51E119" w16cid:durableId="22AECBC7"/>
  <w16cid:commentId w16cid:paraId="0A29BDFD" w16cid:durableId="22AEC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B95D3" w14:textId="77777777" w:rsidR="00597D7B" w:rsidRDefault="00597D7B" w:rsidP="009D6314">
      <w:r>
        <w:separator/>
      </w:r>
    </w:p>
  </w:endnote>
  <w:endnote w:type="continuationSeparator" w:id="0">
    <w:p w14:paraId="056F9A69" w14:textId="77777777" w:rsidR="00597D7B" w:rsidRDefault="00597D7B" w:rsidP="009D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7BE6B" w14:textId="77777777" w:rsidR="00597D7B" w:rsidRDefault="00597D7B" w:rsidP="009D6314">
      <w:r>
        <w:separator/>
      </w:r>
    </w:p>
  </w:footnote>
  <w:footnote w:type="continuationSeparator" w:id="0">
    <w:p w14:paraId="64E89DDD" w14:textId="77777777" w:rsidR="00597D7B" w:rsidRDefault="00597D7B" w:rsidP="009D6314">
      <w:r>
        <w:continuationSeparator/>
      </w:r>
    </w:p>
  </w:footnote>
  <w:footnote w:id="1">
    <w:p w14:paraId="240786DF" w14:textId="77777777" w:rsidR="00FF30EF" w:rsidRDefault="00FF30EF">
      <w:pPr>
        <w:pStyle w:val="FootnoteText"/>
      </w:pPr>
      <w:r>
        <w:rPr>
          <w:rStyle w:val="FootnoteReference"/>
        </w:rPr>
        <w:footnoteRef/>
      </w:r>
      <w:r>
        <w:t xml:space="preserve"> Employee Benefits Security Administration, U.S. Department of Labor, Private Pension Plan Bulletin Historical Tables and Graphs 1975-2017, September 2019 </w:t>
      </w:r>
      <w:hyperlink r:id="rId1" w:history="1">
        <w:r w:rsidRPr="00FF30EF">
          <w:rPr>
            <w:rStyle w:val="Hyperlink"/>
          </w:rPr>
          <w:t>https://www.dol.gov/sites/dolgov/files/ebsa/researchers/statistics/retirement-bulletins/private-pension-plan-bulletin-historical-tables-and-graphs.pdf</w:t>
        </w:r>
      </w:hyperlink>
      <w:r w:rsidR="00A542CD">
        <w:t xml:space="preserve"> at p. 1 and p. 32</w:t>
      </w:r>
      <w:r>
        <w:t xml:space="preserve">. </w:t>
      </w:r>
    </w:p>
  </w:footnote>
  <w:footnote w:id="2">
    <w:p w14:paraId="4FCDD8B3" w14:textId="77777777" w:rsidR="00FB0B56" w:rsidRDefault="00FB0B56">
      <w:pPr>
        <w:pStyle w:val="FootnoteText"/>
      </w:pPr>
      <w:r>
        <w:rPr>
          <w:rStyle w:val="FootnoteReference"/>
        </w:rPr>
        <w:footnoteRef/>
      </w:r>
      <w:r>
        <w:t xml:space="preserve"> Investment Company Institute, The Role of IRAs in US Households’ Saving for Retirement, 2019, ICI Research Perspective, December 2019, Vol, 25, No. 10 </w:t>
      </w:r>
      <w:hyperlink r:id="rId2" w:history="1">
        <w:r w:rsidRPr="00FB0B56">
          <w:rPr>
            <w:rStyle w:val="Hyperlink"/>
          </w:rPr>
          <w:t>https://ici.org/pdf/per25-10.pdf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E1677"/>
    <w:multiLevelType w:val="hybridMultilevel"/>
    <w:tmpl w:val="171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11"/>
    <w:rsid w:val="00003B93"/>
    <w:rsid w:val="00015FC0"/>
    <w:rsid w:val="00027C8D"/>
    <w:rsid w:val="000514DC"/>
    <w:rsid w:val="00077DC1"/>
    <w:rsid w:val="000979D1"/>
    <w:rsid w:val="000E3611"/>
    <w:rsid w:val="000F6C64"/>
    <w:rsid w:val="00187206"/>
    <w:rsid w:val="001A027F"/>
    <w:rsid w:val="001B5F6D"/>
    <w:rsid w:val="001C2821"/>
    <w:rsid w:val="001C76D0"/>
    <w:rsid w:val="0023471C"/>
    <w:rsid w:val="0028492A"/>
    <w:rsid w:val="002A09A6"/>
    <w:rsid w:val="003805A3"/>
    <w:rsid w:val="003B0C73"/>
    <w:rsid w:val="003B69E3"/>
    <w:rsid w:val="003C06E2"/>
    <w:rsid w:val="00415DC6"/>
    <w:rsid w:val="00584CAB"/>
    <w:rsid w:val="00597D7B"/>
    <w:rsid w:val="00622456"/>
    <w:rsid w:val="006B028A"/>
    <w:rsid w:val="006C7CF6"/>
    <w:rsid w:val="007158FF"/>
    <w:rsid w:val="00721D86"/>
    <w:rsid w:val="007474A8"/>
    <w:rsid w:val="007C63E3"/>
    <w:rsid w:val="007F1B93"/>
    <w:rsid w:val="00824635"/>
    <w:rsid w:val="00926093"/>
    <w:rsid w:val="009563BD"/>
    <w:rsid w:val="009A3925"/>
    <w:rsid w:val="009B7CB2"/>
    <w:rsid w:val="009D6314"/>
    <w:rsid w:val="00A542CD"/>
    <w:rsid w:val="00A571B6"/>
    <w:rsid w:val="00A62EEB"/>
    <w:rsid w:val="00A8449D"/>
    <w:rsid w:val="00AA0F4E"/>
    <w:rsid w:val="00B0032A"/>
    <w:rsid w:val="00B05A7F"/>
    <w:rsid w:val="00B41EB1"/>
    <w:rsid w:val="00B91370"/>
    <w:rsid w:val="00BD27E9"/>
    <w:rsid w:val="00C547F1"/>
    <w:rsid w:val="00D06760"/>
    <w:rsid w:val="00D74515"/>
    <w:rsid w:val="00DA4FC6"/>
    <w:rsid w:val="00DD1AF0"/>
    <w:rsid w:val="00DE5879"/>
    <w:rsid w:val="00E32641"/>
    <w:rsid w:val="00E64B00"/>
    <w:rsid w:val="00E750F9"/>
    <w:rsid w:val="00EF0E88"/>
    <w:rsid w:val="00F8066F"/>
    <w:rsid w:val="00FB0B56"/>
    <w:rsid w:val="00FD707C"/>
    <w:rsid w:val="00FF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ACE5"/>
  <w15:chartTrackingRefBased/>
  <w15:docId w15:val="{44D3C695-6D26-4ACD-95DD-D09AA2EB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6314"/>
    <w:rPr>
      <w:sz w:val="20"/>
      <w:szCs w:val="20"/>
    </w:rPr>
  </w:style>
  <w:style w:type="character" w:customStyle="1" w:styleId="FootnoteTextChar">
    <w:name w:val="Footnote Text Char"/>
    <w:basedOn w:val="DefaultParagraphFont"/>
    <w:link w:val="FootnoteText"/>
    <w:uiPriority w:val="99"/>
    <w:semiHidden/>
    <w:rsid w:val="009D6314"/>
    <w:rPr>
      <w:sz w:val="20"/>
      <w:szCs w:val="20"/>
    </w:rPr>
  </w:style>
  <w:style w:type="character" w:styleId="FootnoteReference">
    <w:name w:val="footnote reference"/>
    <w:basedOn w:val="DefaultParagraphFont"/>
    <w:uiPriority w:val="99"/>
    <w:semiHidden/>
    <w:unhideWhenUsed/>
    <w:rsid w:val="009D6314"/>
    <w:rPr>
      <w:vertAlign w:val="superscript"/>
    </w:rPr>
  </w:style>
  <w:style w:type="character" w:styleId="Hyperlink">
    <w:name w:val="Hyperlink"/>
    <w:basedOn w:val="DefaultParagraphFont"/>
    <w:uiPriority w:val="99"/>
    <w:unhideWhenUsed/>
    <w:rsid w:val="00FF30EF"/>
    <w:rPr>
      <w:color w:val="0563C1" w:themeColor="hyperlink"/>
      <w:u w:val="single"/>
    </w:rPr>
  </w:style>
  <w:style w:type="character" w:styleId="CommentReference">
    <w:name w:val="annotation reference"/>
    <w:basedOn w:val="DefaultParagraphFont"/>
    <w:uiPriority w:val="99"/>
    <w:semiHidden/>
    <w:unhideWhenUsed/>
    <w:rsid w:val="00003B93"/>
    <w:rPr>
      <w:sz w:val="16"/>
      <w:szCs w:val="16"/>
    </w:rPr>
  </w:style>
  <w:style w:type="paragraph" w:styleId="CommentText">
    <w:name w:val="annotation text"/>
    <w:basedOn w:val="Normal"/>
    <w:link w:val="CommentTextChar"/>
    <w:uiPriority w:val="99"/>
    <w:semiHidden/>
    <w:unhideWhenUsed/>
    <w:rsid w:val="00003B93"/>
    <w:rPr>
      <w:sz w:val="20"/>
      <w:szCs w:val="20"/>
    </w:rPr>
  </w:style>
  <w:style w:type="character" w:customStyle="1" w:styleId="CommentTextChar">
    <w:name w:val="Comment Text Char"/>
    <w:basedOn w:val="DefaultParagraphFont"/>
    <w:link w:val="CommentText"/>
    <w:uiPriority w:val="99"/>
    <w:semiHidden/>
    <w:rsid w:val="00003B93"/>
    <w:rPr>
      <w:sz w:val="20"/>
      <w:szCs w:val="20"/>
    </w:rPr>
  </w:style>
  <w:style w:type="paragraph" w:styleId="CommentSubject">
    <w:name w:val="annotation subject"/>
    <w:basedOn w:val="CommentText"/>
    <w:next w:val="CommentText"/>
    <w:link w:val="CommentSubjectChar"/>
    <w:uiPriority w:val="99"/>
    <w:semiHidden/>
    <w:unhideWhenUsed/>
    <w:rsid w:val="00003B93"/>
    <w:rPr>
      <w:b/>
      <w:bCs/>
    </w:rPr>
  </w:style>
  <w:style w:type="character" w:customStyle="1" w:styleId="CommentSubjectChar">
    <w:name w:val="Comment Subject Char"/>
    <w:basedOn w:val="CommentTextChar"/>
    <w:link w:val="CommentSubject"/>
    <w:uiPriority w:val="99"/>
    <w:semiHidden/>
    <w:rsid w:val="00003B93"/>
    <w:rPr>
      <w:b/>
      <w:bCs/>
      <w:sz w:val="20"/>
      <w:szCs w:val="20"/>
    </w:rPr>
  </w:style>
  <w:style w:type="paragraph" w:styleId="BalloonText">
    <w:name w:val="Balloon Text"/>
    <w:basedOn w:val="Normal"/>
    <w:link w:val="BalloonTextChar"/>
    <w:uiPriority w:val="99"/>
    <w:semiHidden/>
    <w:unhideWhenUsed/>
    <w:rsid w:val="00003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93"/>
    <w:rPr>
      <w:rFonts w:ascii="Segoe UI" w:hAnsi="Segoe UI" w:cs="Segoe UI"/>
      <w:sz w:val="18"/>
      <w:szCs w:val="18"/>
    </w:rPr>
  </w:style>
  <w:style w:type="paragraph" w:styleId="ListParagraph">
    <w:name w:val="List Paragraph"/>
    <w:basedOn w:val="Normal"/>
    <w:uiPriority w:val="34"/>
    <w:qFormat/>
    <w:rsid w:val="00B05A7F"/>
    <w:pPr>
      <w:ind w:left="720"/>
      <w:contextualSpacing/>
    </w:pPr>
  </w:style>
  <w:style w:type="paragraph" w:styleId="Revision">
    <w:name w:val="Revision"/>
    <w:hidden/>
    <w:uiPriority w:val="99"/>
    <w:semiHidden/>
    <w:rsid w:val="00D7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38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ci.org/pdf/per25-10.pdf" TargetMode="External"/><Relationship Id="rId1" Type="http://schemas.openxmlformats.org/officeDocument/2006/relationships/hyperlink" Target="https://www.dol.gov/sites/dolgov/files/ebsa/researchers/statistics/retirement-bulletins/private-pension-plan-bulletin-historical-tables-and-grap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9358-245A-4DE3-831D-81D0B293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broper</dc:creator>
  <cp:keywords/>
  <dc:description/>
  <cp:lastModifiedBy>broper</cp:lastModifiedBy>
  <cp:revision>2</cp:revision>
  <dcterms:created xsi:type="dcterms:W3CDTF">2020-07-08T12:39:00Z</dcterms:created>
  <dcterms:modified xsi:type="dcterms:W3CDTF">2020-07-08T12:39:00Z</dcterms:modified>
</cp:coreProperties>
</file>