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C0B6" w14:textId="247CB2CE" w:rsidR="0052653B" w:rsidRDefault="004B4F7D">
      <w:pPr>
        <w:rPr>
          <w:rFonts w:ascii="Garamond" w:hAnsi="Garamond"/>
        </w:rPr>
      </w:pPr>
      <w:r w:rsidRPr="00EC493A">
        <w:rPr>
          <w:rFonts w:ascii="Garamond" w:hAnsi="Garamond"/>
          <w:noProof/>
        </w:rPr>
        <w:drawing>
          <wp:inline distT="0" distB="0" distL="0" distR="0" wp14:anchorId="16B7C8DD" wp14:editId="576E9D90">
            <wp:extent cx="5943600" cy="867410"/>
            <wp:effectExtent l="0" t="0" r="0" b="0"/>
            <wp:docPr id="1" name="Picture 1" descr="\\Cfa2003\common\CFA Logos &amp; Images\newcf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2003\common\CFA Logos &amp; Images\newcfalogo.jpg"/>
                    <pic:cNvPicPr>
                      <a:picLocks noChangeAspect="1" noChangeArrowheads="1"/>
                    </pic:cNvPicPr>
                  </pic:nvPicPr>
                  <pic:blipFill>
                    <a:blip r:embed="rId11" cstate="print"/>
                    <a:srcRect/>
                    <a:stretch>
                      <a:fillRect/>
                    </a:stretch>
                  </pic:blipFill>
                  <pic:spPr bwMode="auto">
                    <a:xfrm>
                      <a:off x="0" y="0"/>
                      <a:ext cx="5943600" cy="867410"/>
                    </a:xfrm>
                    <a:prstGeom prst="rect">
                      <a:avLst/>
                    </a:prstGeom>
                    <a:noFill/>
                    <a:ln w="9525">
                      <a:noFill/>
                      <a:miter lim="800000"/>
                      <a:headEnd/>
                      <a:tailEnd/>
                    </a:ln>
                  </pic:spPr>
                </pic:pic>
              </a:graphicData>
            </a:graphic>
          </wp:inline>
        </w:drawing>
      </w:r>
    </w:p>
    <w:p w14:paraId="099057F8" w14:textId="018B6D8F" w:rsidR="004B4F7D" w:rsidRDefault="004B4F7D">
      <w:pPr>
        <w:rPr>
          <w:rFonts w:ascii="Garamond" w:hAnsi="Garamond"/>
        </w:rPr>
      </w:pPr>
    </w:p>
    <w:p w14:paraId="5CF6BDB8" w14:textId="1922AB45" w:rsidR="004B4F7D" w:rsidRDefault="009E6DAC">
      <w:pPr>
        <w:rPr>
          <w:rFonts w:ascii="Garamond" w:hAnsi="Garamond"/>
        </w:rPr>
      </w:pPr>
      <w:r>
        <w:rPr>
          <w:rFonts w:ascii="Garamond" w:hAnsi="Garamond"/>
        </w:rPr>
        <w:t xml:space="preserve">June </w:t>
      </w:r>
      <w:r w:rsidR="0068209F">
        <w:rPr>
          <w:rFonts w:ascii="Garamond" w:hAnsi="Garamond"/>
        </w:rPr>
        <w:t>2</w:t>
      </w:r>
      <w:r>
        <w:rPr>
          <w:rFonts w:ascii="Garamond" w:hAnsi="Garamond"/>
        </w:rPr>
        <w:t>, 2022</w:t>
      </w:r>
    </w:p>
    <w:p w14:paraId="44D60DE2" w14:textId="62DF62DA" w:rsidR="009E6DAC" w:rsidRDefault="009E6DAC">
      <w:pPr>
        <w:rPr>
          <w:rFonts w:ascii="Garamond" w:hAnsi="Garamond"/>
        </w:rPr>
      </w:pPr>
    </w:p>
    <w:p w14:paraId="336858EA" w14:textId="7DE53446" w:rsidR="00733EE3" w:rsidRDefault="00733EE3" w:rsidP="009E6DAC">
      <w:pPr>
        <w:rPr>
          <w:rFonts w:ascii="Garamond" w:hAnsi="Garamond"/>
          <w:bCs/>
        </w:rPr>
      </w:pPr>
      <w:r>
        <w:rPr>
          <w:rFonts w:ascii="Garamond" w:hAnsi="Garamond"/>
          <w:bCs/>
        </w:rPr>
        <w:t xml:space="preserve">Sandra </w:t>
      </w:r>
      <w:proofErr w:type="spellStart"/>
      <w:r>
        <w:rPr>
          <w:rFonts w:ascii="Garamond" w:hAnsi="Garamond"/>
          <w:bCs/>
        </w:rPr>
        <w:t>Eskin</w:t>
      </w:r>
      <w:proofErr w:type="spellEnd"/>
    </w:p>
    <w:p w14:paraId="5D1356D7" w14:textId="3A1B92CB" w:rsidR="00733EE3" w:rsidRDefault="00733EE3" w:rsidP="009E6DAC">
      <w:pPr>
        <w:rPr>
          <w:rFonts w:ascii="Garamond" w:hAnsi="Garamond"/>
          <w:bCs/>
        </w:rPr>
      </w:pPr>
      <w:r>
        <w:rPr>
          <w:rFonts w:ascii="Garamond" w:hAnsi="Garamond"/>
          <w:bCs/>
        </w:rPr>
        <w:t>Deputy Under Secretary for Food Safety</w:t>
      </w:r>
    </w:p>
    <w:p w14:paraId="20BC5545" w14:textId="77777777" w:rsidR="00DF54BE" w:rsidRPr="009E6DAC" w:rsidRDefault="00DF54BE" w:rsidP="00DF54BE">
      <w:pPr>
        <w:rPr>
          <w:rFonts w:ascii="Garamond" w:hAnsi="Garamond"/>
          <w:bCs/>
        </w:rPr>
      </w:pPr>
      <w:r w:rsidRPr="009E6DAC">
        <w:rPr>
          <w:rFonts w:ascii="Garamond" w:hAnsi="Garamond"/>
          <w:bCs/>
        </w:rPr>
        <w:t>Food Safety and Inspection Service</w:t>
      </w:r>
    </w:p>
    <w:p w14:paraId="0AA8421A" w14:textId="0A2E409A" w:rsidR="009E6DAC" w:rsidRPr="009E6DAC" w:rsidRDefault="009E6DAC" w:rsidP="009E6DAC">
      <w:pPr>
        <w:rPr>
          <w:rFonts w:ascii="Garamond" w:hAnsi="Garamond"/>
          <w:bCs/>
        </w:rPr>
      </w:pPr>
      <w:r w:rsidRPr="009E6DAC">
        <w:rPr>
          <w:rFonts w:ascii="Garamond" w:hAnsi="Garamond"/>
          <w:bCs/>
        </w:rPr>
        <w:t xml:space="preserve">U.S. Department of Agriculture </w:t>
      </w:r>
    </w:p>
    <w:p w14:paraId="42A3D52F" w14:textId="22364B76" w:rsidR="00EF66AF" w:rsidRDefault="00EF66AF" w:rsidP="009E6DAC">
      <w:pPr>
        <w:rPr>
          <w:rFonts w:ascii="Garamond" w:hAnsi="Garamond"/>
          <w:bCs/>
        </w:rPr>
      </w:pPr>
    </w:p>
    <w:p w14:paraId="17F9AA1D" w14:textId="418DDDCA" w:rsidR="00EF66AF" w:rsidRPr="00EF66AF" w:rsidRDefault="00EF66AF" w:rsidP="00EF66AF">
      <w:pPr>
        <w:jc w:val="both"/>
        <w:rPr>
          <w:rFonts w:ascii="Garamond" w:hAnsi="Garamond"/>
          <w:i/>
          <w:iCs/>
        </w:rPr>
      </w:pPr>
      <w:r>
        <w:rPr>
          <w:rFonts w:ascii="Garamond" w:hAnsi="Garamond"/>
          <w:i/>
          <w:iCs/>
        </w:rPr>
        <w:t>SUBMITTED</w:t>
      </w:r>
      <w:r w:rsidRPr="008A29D6">
        <w:rPr>
          <w:rFonts w:ascii="Garamond" w:hAnsi="Garamond"/>
          <w:i/>
          <w:iCs/>
        </w:rPr>
        <w:t xml:space="preserve"> VIA REGULATIONS.GOV </w:t>
      </w:r>
    </w:p>
    <w:p w14:paraId="5D5A06A2" w14:textId="77777777" w:rsidR="009E6DAC" w:rsidRPr="009E6DAC" w:rsidRDefault="009E6DAC" w:rsidP="009E6DAC">
      <w:pPr>
        <w:rPr>
          <w:rFonts w:ascii="Garamond" w:hAnsi="Garamond"/>
          <w:b/>
        </w:rPr>
      </w:pPr>
    </w:p>
    <w:p w14:paraId="61BD51FC" w14:textId="7A826778" w:rsidR="009E6DAC" w:rsidRPr="00EF66AF" w:rsidRDefault="009E6DAC" w:rsidP="009E6DAC">
      <w:pPr>
        <w:rPr>
          <w:rFonts w:ascii="Garamond" w:hAnsi="Garamond"/>
          <w:b/>
        </w:rPr>
      </w:pPr>
      <w:r w:rsidRPr="00EF66AF">
        <w:rPr>
          <w:rFonts w:ascii="Garamond" w:hAnsi="Garamond"/>
          <w:b/>
        </w:rPr>
        <w:t xml:space="preserve">RE: Comment on Proposed Performance Standards for </w:t>
      </w:r>
      <w:r w:rsidRPr="00674D82">
        <w:rPr>
          <w:rFonts w:ascii="Garamond" w:hAnsi="Garamond"/>
          <w:b/>
          <w:i/>
          <w:iCs/>
        </w:rPr>
        <w:t>Salmonella</w:t>
      </w:r>
      <w:r w:rsidRPr="00EF66AF">
        <w:rPr>
          <w:rFonts w:ascii="Garamond" w:hAnsi="Garamond"/>
          <w:b/>
        </w:rPr>
        <w:t xml:space="preserve"> in Raw Comminuted Pork and Intact or Non-Intact Pork Cuts and Related Agency Verification Procedures (Docket No. FSIS–2019–0023)</w:t>
      </w:r>
    </w:p>
    <w:p w14:paraId="36FF2848" w14:textId="77777777" w:rsidR="009E6DAC" w:rsidRPr="009E6DAC" w:rsidRDefault="009E6DAC" w:rsidP="009E6DAC">
      <w:pPr>
        <w:rPr>
          <w:rFonts w:ascii="Garamond" w:hAnsi="Garamond"/>
          <w:bCs/>
        </w:rPr>
      </w:pPr>
    </w:p>
    <w:p w14:paraId="75B93608" w14:textId="553CAB21" w:rsidR="009E6DAC" w:rsidRDefault="00733EE3" w:rsidP="009E6DAC">
      <w:pPr>
        <w:rPr>
          <w:rFonts w:ascii="Garamond" w:hAnsi="Garamond"/>
          <w:bCs/>
        </w:rPr>
      </w:pPr>
      <w:r>
        <w:rPr>
          <w:rFonts w:ascii="Garamond" w:hAnsi="Garamond"/>
          <w:bCs/>
        </w:rPr>
        <w:t xml:space="preserve">Dear Under Secretary </w:t>
      </w:r>
      <w:proofErr w:type="spellStart"/>
      <w:r>
        <w:rPr>
          <w:rFonts w:ascii="Garamond" w:hAnsi="Garamond"/>
          <w:bCs/>
        </w:rPr>
        <w:t>Eskin</w:t>
      </w:r>
      <w:proofErr w:type="spellEnd"/>
      <w:r>
        <w:rPr>
          <w:rFonts w:ascii="Garamond" w:hAnsi="Garamond"/>
          <w:bCs/>
        </w:rPr>
        <w:t>:</w:t>
      </w:r>
    </w:p>
    <w:p w14:paraId="37D8163B" w14:textId="77D999D7" w:rsidR="00EF66AF" w:rsidRDefault="00EF66AF" w:rsidP="009E6DAC">
      <w:pPr>
        <w:rPr>
          <w:rFonts w:ascii="Garamond" w:hAnsi="Garamond"/>
          <w:bCs/>
        </w:rPr>
      </w:pPr>
    </w:p>
    <w:p w14:paraId="65844674" w14:textId="763BAE56" w:rsidR="00E144FE" w:rsidRDefault="00EF66AF" w:rsidP="00DE4AD3">
      <w:pPr>
        <w:ind w:firstLine="720"/>
        <w:jc w:val="both"/>
        <w:rPr>
          <w:rFonts w:ascii="Garamond" w:hAnsi="Garamond"/>
        </w:rPr>
      </w:pPr>
      <w:r w:rsidRPr="00733EE3">
        <w:rPr>
          <w:rFonts w:ascii="Garamond" w:hAnsi="Garamond"/>
        </w:rPr>
        <w:t xml:space="preserve">The Consumer Federation of America (CFA) </w:t>
      </w:r>
      <w:r w:rsidR="0075792D" w:rsidRPr="00733EE3">
        <w:rPr>
          <w:rFonts w:ascii="Garamond" w:hAnsi="Garamond"/>
        </w:rPr>
        <w:t xml:space="preserve">appreciates the opportunity to comment on </w:t>
      </w:r>
      <w:r w:rsidR="00CC5257" w:rsidRPr="00733EE3">
        <w:rPr>
          <w:rFonts w:ascii="Garamond" w:hAnsi="Garamond"/>
        </w:rPr>
        <w:t xml:space="preserve">the </w:t>
      </w:r>
      <w:r w:rsidR="00E144FE">
        <w:rPr>
          <w:rFonts w:ascii="Garamond" w:hAnsi="Garamond"/>
        </w:rPr>
        <w:t xml:space="preserve">above-referenced </w:t>
      </w:r>
      <w:r w:rsidR="00CC5257" w:rsidRPr="00733EE3">
        <w:rPr>
          <w:rFonts w:ascii="Garamond" w:hAnsi="Garamond"/>
        </w:rPr>
        <w:t>proposed performance standards</w:t>
      </w:r>
      <w:r w:rsidRPr="00733EE3">
        <w:rPr>
          <w:rFonts w:ascii="Garamond" w:hAnsi="Garamond"/>
        </w:rPr>
        <w:t xml:space="preserve">. </w:t>
      </w:r>
      <w:r w:rsidR="00733EE3">
        <w:rPr>
          <w:rFonts w:ascii="Garamond" w:hAnsi="Garamond"/>
        </w:rPr>
        <w:t>C</w:t>
      </w:r>
      <w:r w:rsidRPr="009579EC">
        <w:rPr>
          <w:rFonts w:ascii="Garamond" w:hAnsi="Garamond"/>
        </w:rPr>
        <w:t>FA is an association of over 250 non-profit consumer organizations that was established in 1968 to advance consumer interest through research, advocacy</w:t>
      </w:r>
      <w:r w:rsidR="00055D58">
        <w:rPr>
          <w:rFonts w:ascii="Garamond" w:hAnsi="Garamond"/>
        </w:rPr>
        <w:t>,</w:t>
      </w:r>
      <w:r w:rsidRPr="009579EC">
        <w:rPr>
          <w:rFonts w:ascii="Garamond" w:hAnsi="Garamond"/>
        </w:rPr>
        <w:t xml:space="preserve"> and education. Member organizations include local, state, and national consumer advocacy groups, senior citizen associations, consumer cooperatives, trade unions</w:t>
      </w:r>
      <w:r w:rsidR="00055D58">
        <w:rPr>
          <w:rFonts w:ascii="Garamond" w:hAnsi="Garamond"/>
        </w:rPr>
        <w:t>,</w:t>
      </w:r>
      <w:r w:rsidRPr="009579EC">
        <w:rPr>
          <w:rFonts w:ascii="Garamond" w:hAnsi="Garamond"/>
        </w:rPr>
        <w:t xml:space="preserve"> and food safety organizations.</w:t>
      </w:r>
      <w:r w:rsidR="00733EE3">
        <w:rPr>
          <w:rFonts w:ascii="Garamond" w:hAnsi="Garamond"/>
        </w:rPr>
        <w:t xml:space="preserve"> </w:t>
      </w:r>
    </w:p>
    <w:p w14:paraId="2036BC99" w14:textId="77777777" w:rsidR="00E144FE" w:rsidRDefault="00E144FE" w:rsidP="00DE4AD3">
      <w:pPr>
        <w:ind w:firstLine="720"/>
        <w:jc w:val="both"/>
        <w:rPr>
          <w:rFonts w:ascii="Garamond" w:hAnsi="Garamond"/>
        </w:rPr>
      </w:pPr>
    </w:p>
    <w:p w14:paraId="22838C77" w14:textId="02BE313B" w:rsidR="00B7334B" w:rsidRDefault="00733EE3" w:rsidP="00DE4AD3">
      <w:pPr>
        <w:ind w:firstLine="720"/>
        <w:jc w:val="both"/>
        <w:rPr>
          <w:rFonts w:ascii="Garamond" w:hAnsi="Garamond"/>
        </w:rPr>
      </w:pPr>
      <w:r>
        <w:rPr>
          <w:rFonts w:ascii="Garamond" w:hAnsi="Garamond"/>
        </w:rPr>
        <w:t xml:space="preserve">We commend FSIS for taking this long overdue step to protect consumers from foodborne illness caused by </w:t>
      </w:r>
      <w:r w:rsidR="00910EF7">
        <w:rPr>
          <w:rFonts w:ascii="Garamond" w:hAnsi="Garamond"/>
          <w:i/>
          <w:iCs/>
        </w:rPr>
        <w:t xml:space="preserve">Salmonella </w:t>
      </w:r>
      <w:r w:rsidR="00910EF7">
        <w:rPr>
          <w:rFonts w:ascii="Garamond" w:hAnsi="Garamond"/>
        </w:rPr>
        <w:t xml:space="preserve">in </w:t>
      </w:r>
      <w:r>
        <w:rPr>
          <w:rFonts w:ascii="Garamond" w:hAnsi="Garamond"/>
        </w:rPr>
        <w:t xml:space="preserve">pork. </w:t>
      </w:r>
      <w:r w:rsidR="00DE4AD3" w:rsidRPr="00DE4AD3">
        <w:rPr>
          <w:rFonts w:ascii="Garamond" w:hAnsi="Garamond"/>
        </w:rPr>
        <w:t>The proposed standards will undoubtedly improve food safety by exposing poor performing</w:t>
      </w:r>
      <w:r w:rsidR="00DE4AD3">
        <w:rPr>
          <w:rFonts w:ascii="Garamond" w:hAnsi="Garamond"/>
        </w:rPr>
        <w:t xml:space="preserve"> </w:t>
      </w:r>
      <w:r w:rsidR="00DE4AD3" w:rsidRPr="00DE4AD3">
        <w:rPr>
          <w:rFonts w:ascii="Garamond" w:hAnsi="Garamond"/>
        </w:rPr>
        <w:t>companies and creating new incentives for investment in reducing pathogen contamination.</w:t>
      </w:r>
      <w:r w:rsidR="00850262">
        <w:rPr>
          <w:rFonts w:ascii="Garamond" w:hAnsi="Garamond"/>
        </w:rPr>
        <w:t xml:space="preserve"> </w:t>
      </w:r>
      <w:r w:rsidR="00DE4AD3" w:rsidRPr="00DE4AD3">
        <w:rPr>
          <w:rFonts w:ascii="Garamond" w:hAnsi="Garamond"/>
        </w:rPr>
        <w:t>However,</w:t>
      </w:r>
      <w:r w:rsidR="00DE4AD3">
        <w:rPr>
          <w:rFonts w:ascii="Garamond" w:hAnsi="Garamond"/>
        </w:rPr>
        <w:t xml:space="preserve"> </w:t>
      </w:r>
      <w:r w:rsidR="00DE4AD3" w:rsidRPr="00DE4AD3">
        <w:rPr>
          <w:rFonts w:ascii="Garamond" w:hAnsi="Garamond"/>
        </w:rPr>
        <w:t xml:space="preserve">FSIS should go further. </w:t>
      </w:r>
      <w:r w:rsidR="00DE4AD3">
        <w:rPr>
          <w:rFonts w:ascii="Garamond" w:hAnsi="Garamond"/>
        </w:rPr>
        <w:t>In particular, w</w:t>
      </w:r>
      <w:r>
        <w:rPr>
          <w:rFonts w:ascii="Garamond" w:hAnsi="Garamond"/>
        </w:rPr>
        <w:t xml:space="preserve">e urge the agency </w:t>
      </w:r>
      <w:r w:rsidR="003C650F">
        <w:rPr>
          <w:rFonts w:ascii="Garamond" w:hAnsi="Garamond"/>
        </w:rPr>
        <w:t>to develop</w:t>
      </w:r>
      <w:r w:rsidR="00DE4AD3">
        <w:rPr>
          <w:rFonts w:ascii="Garamond" w:hAnsi="Garamond"/>
        </w:rPr>
        <w:t xml:space="preserve"> product standards that better protect consumers from dangerous </w:t>
      </w:r>
      <w:r w:rsidR="003C650F">
        <w:rPr>
          <w:rFonts w:ascii="Garamond" w:hAnsi="Garamond"/>
          <w:i/>
          <w:iCs/>
        </w:rPr>
        <w:t>Salmonella</w:t>
      </w:r>
      <w:r w:rsidR="003C650F">
        <w:rPr>
          <w:rFonts w:ascii="Garamond" w:hAnsi="Garamond"/>
        </w:rPr>
        <w:t xml:space="preserve"> </w:t>
      </w:r>
      <w:r w:rsidR="00DE4AD3">
        <w:rPr>
          <w:rFonts w:ascii="Garamond" w:hAnsi="Garamond"/>
        </w:rPr>
        <w:t xml:space="preserve">contamination in </w:t>
      </w:r>
      <w:r w:rsidR="003C650F">
        <w:rPr>
          <w:rFonts w:ascii="Garamond" w:hAnsi="Garamond"/>
        </w:rPr>
        <w:t xml:space="preserve">pork, with an aim towards building on the proposed standards to create incentives for food safety risk mitigation more closely linked to public health. </w:t>
      </w:r>
      <w:bookmarkStart w:id="0" w:name="_Hlk105086875"/>
      <w:r w:rsidR="006352A6">
        <w:rPr>
          <w:rFonts w:ascii="Garamond" w:hAnsi="Garamond"/>
        </w:rPr>
        <w:t xml:space="preserve">The agency should also </w:t>
      </w:r>
      <w:r w:rsidR="006352A6" w:rsidRPr="006352A6">
        <w:rPr>
          <w:rFonts w:ascii="Garamond" w:hAnsi="Garamond"/>
        </w:rPr>
        <w:t xml:space="preserve">fully enforce existing </w:t>
      </w:r>
      <w:r w:rsidR="006352A6">
        <w:rPr>
          <w:rFonts w:ascii="Garamond" w:hAnsi="Garamond"/>
        </w:rPr>
        <w:t xml:space="preserve">prohibitions on fecal contamination. </w:t>
      </w:r>
    </w:p>
    <w:bookmarkEnd w:id="0"/>
    <w:p w14:paraId="167496FC" w14:textId="77777777" w:rsidR="00733EE3" w:rsidRDefault="00733EE3" w:rsidP="00733EE3">
      <w:pPr>
        <w:jc w:val="both"/>
        <w:rPr>
          <w:rFonts w:ascii="Garamond" w:hAnsi="Garamond"/>
        </w:rPr>
      </w:pPr>
    </w:p>
    <w:p w14:paraId="5F27AB0A" w14:textId="14A6C2C4" w:rsidR="00EF66AF" w:rsidRDefault="00CA0864" w:rsidP="003C650F">
      <w:pPr>
        <w:ind w:firstLine="720"/>
        <w:rPr>
          <w:rFonts w:ascii="Garamond" w:hAnsi="Garamond"/>
          <w:bCs/>
          <w:u w:val="single"/>
        </w:rPr>
      </w:pPr>
      <w:r>
        <w:rPr>
          <w:rFonts w:ascii="Garamond" w:hAnsi="Garamond"/>
          <w:bCs/>
          <w:u w:val="single"/>
        </w:rPr>
        <w:t xml:space="preserve">Pork and </w:t>
      </w:r>
      <w:r w:rsidR="0035561D">
        <w:rPr>
          <w:rFonts w:ascii="Garamond" w:hAnsi="Garamond"/>
          <w:bCs/>
          <w:u w:val="single"/>
        </w:rPr>
        <w:t>Foodborne Illness</w:t>
      </w:r>
    </w:p>
    <w:p w14:paraId="58D7E5D1" w14:textId="12C3FD0F" w:rsidR="00655A34" w:rsidRDefault="00655A34" w:rsidP="009E6DAC">
      <w:pPr>
        <w:rPr>
          <w:rFonts w:ascii="Garamond" w:hAnsi="Garamond"/>
          <w:bCs/>
          <w:u w:val="single"/>
        </w:rPr>
      </w:pPr>
    </w:p>
    <w:p w14:paraId="55912D92" w14:textId="10F38104" w:rsidR="0035561D" w:rsidRPr="00230C18" w:rsidRDefault="0035561D" w:rsidP="0035561D">
      <w:pPr>
        <w:ind w:firstLine="720"/>
        <w:rPr>
          <w:rFonts w:ascii="Garamond" w:hAnsi="Garamond"/>
        </w:rPr>
      </w:pPr>
      <w:r w:rsidRPr="00230C18">
        <w:rPr>
          <w:rFonts w:ascii="Garamond" w:hAnsi="Garamond"/>
          <w:bCs/>
        </w:rPr>
        <w:t xml:space="preserve">Foodborne illness caused by pork imposes tremendous personal and economic costs on consumers. </w:t>
      </w:r>
      <w:r w:rsidRPr="00230C18">
        <w:rPr>
          <w:rFonts w:ascii="Garamond" w:hAnsi="Garamond"/>
        </w:rPr>
        <w:t xml:space="preserve">According to </w:t>
      </w:r>
      <w:r w:rsidR="00E144FE">
        <w:rPr>
          <w:rFonts w:ascii="Garamond" w:hAnsi="Garamond"/>
        </w:rPr>
        <w:t xml:space="preserve">the </w:t>
      </w:r>
      <w:r w:rsidRPr="00230C18">
        <w:rPr>
          <w:rFonts w:ascii="Garamond" w:hAnsi="Garamond"/>
        </w:rPr>
        <w:t>Centers for Disease Control and Prevention (CDC)</w:t>
      </w:r>
      <w:r>
        <w:rPr>
          <w:rFonts w:ascii="Garamond" w:hAnsi="Garamond"/>
        </w:rPr>
        <w:t xml:space="preserve"> </w:t>
      </w:r>
      <w:r w:rsidRPr="00230C18">
        <w:rPr>
          <w:rFonts w:ascii="Garamond" w:hAnsi="Garamond"/>
        </w:rPr>
        <w:t>estimates</w:t>
      </w:r>
      <w:r>
        <w:rPr>
          <w:rFonts w:ascii="Garamond" w:hAnsi="Garamond"/>
        </w:rPr>
        <w:t>,</w:t>
      </w:r>
      <w:r w:rsidRPr="00230C18">
        <w:rPr>
          <w:rFonts w:ascii="Garamond" w:hAnsi="Garamond"/>
        </w:rPr>
        <w:t xml:space="preserve"> pork causes over half a million cases of foodborne illness in the U.S. each year, leading to nearly 3,000 hospitalizations, and almost one hundred deaths.</w:t>
      </w:r>
      <w:r w:rsidRPr="00D047EE">
        <w:rPr>
          <w:rStyle w:val="FootnoteReference"/>
          <w:rFonts w:ascii="Garamond" w:hAnsi="Garamond"/>
        </w:rPr>
        <w:footnoteReference w:id="1"/>
      </w:r>
      <w:r>
        <w:rPr>
          <w:rFonts w:ascii="Garamond" w:hAnsi="Garamond"/>
        </w:rPr>
        <w:t xml:space="preserve"> </w:t>
      </w:r>
      <w:r w:rsidRPr="0035561D">
        <w:rPr>
          <w:rFonts w:ascii="Garamond" w:hAnsi="Garamond"/>
          <w:i/>
          <w:iCs/>
        </w:rPr>
        <w:t>Salmonella</w:t>
      </w:r>
      <w:r>
        <w:rPr>
          <w:rFonts w:ascii="Garamond" w:hAnsi="Garamond"/>
        </w:rPr>
        <w:t xml:space="preserve"> accounts for the bulk of this public </w:t>
      </w:r>
      <w:r>
        <w:rPr>
          <w:rFonts w:ascii="Garamond" w:hAnsi="Garamond"/>
        </w:rPr>
        <w:lastRenderedPageBreak/>
        <w:t xml:space="preserve">health burden. According to USDA estimates, it is </w:t>
      </w:r>
      <w:r w:rsidRPr="0035561D">
        <w:rPr>
          <w:rFonts w:ascii="Garamond" w:hAnsi="Garamond"/>
        </w:rPr>
        <w:t xml:space="preserve">the costliest foodborne pathogen, </w:t>
      </w:r>
      <w:r>
        <w:rPr>
          <w:rFonts w:ascii="Garamond" w:hAnsi="Garamond"/>
        </w:rPr>
        <w:t xml:space="preserve">causing </w:t>
      </w:r>
      <w:r w:rsidRPr="0035561D">
        <w:rPr>
          <w:rFonts w:ascii="Garamond" w:hAnsi="Garamond"/>
        </w:rPr>
        <w:t>an estimated $3.7 billion a year in associated medical costs alone each year.</w:t>
      </w:r>
      <w:r>
        <w:rPr>
          <w:rStyle w:val="FootnoteReference"/>
          <w:rFonts w:ascii="Garamond" w:hAnsi="Garamond"/>
        </w:rPr>
        <w:footnoteReference w:id="2"/>
      </w:r>
      <w:r>
        <w:rPr>
          <w:rFonts w:ascii="Garamond" w:hAnsi="Garamond"/>
        </w:rPr>
        <w:t xml:space="preserve"> </w:t>
      </w:r>
    </w:p>
    <w:p w14:paraId="52E050A2" w14:textId="77777777" w:rsidR="0035561D" w:rsidRDefault="0035561D" w:rsidP="009E6DAC">
      <w:pPr>
        <w:rPr>
          <w:rFonts w:ascii="Garamond" w:hAnsi="Garamond"/>
          <w:bCs/>
        </w:rPr>
      </w:pPr>
    </w:p>
    <w:p w14:paraId="03CFECA3" w14:textId="7B7164BF" w:rsidR="00CA0864" w:rsidRDefault="00BB65F5" w:rsidP="0035561D">
      <w:pPr>
        <w:ind w:firstLine="720"/>
        <w:rPr>
          <w:rFonts w:ascii="Garamond" w:hAnsi="Garamond"/>
          <w:bCs/>
        </w:rPr>
      </w:pPr>
      <w:r>
        <w:rPr>
          <w:rFonts w:ascii="Garamond" w:hAnsi="Garamond"/>
          <w:bCs/>
        </w:rPr>
        <w:t xml:space="preserve">Pork accounts for a large and growing share of the public health burden caused by </w:t>
      </w:r>
      <w:r w:rsidRPr="00BB65F5">
        <w:rPr>
          <w:rFonts w:ascii="Garamond" w:hAnsi="Garamond"/>
          <w:bCs/>
          <w:i/>
          <w:iCs/>
        </w:rPr>
        <w:t>Salmonella</w:t>
      </w:r>
      <w:r>
        <w:rPr>
          <w:rFonts w:ascii="Garamond" w:hAnsi="Garamond"/>
          <w:bCs/>
        </w:rPr>
        <w:t xml:space="preserve">. </w:t>
      </w:r>
      <w:r w:rsidR="00CE0CAF">
        <w:rPr>
          <w:rFonts w:ascii="Garamond" w:hAnsi="Garamond"/>
          <w:bCs/>
        </w:rPr>
        <w:t xml:space="preserve">The most recent </w:t>
      </w:r>
      <w:r w:rsidR="00616C99">
        <w:rPr>
          <w:rFonts w:ascii="Garamond" w:hAnsi="Garamond"/>
          <w:bCs/>
        </w:rPr>
        <w:t>analysis of outbreak data</w:t>
      </w:r>
      <w:r w:rsidR="00CE0CAF">
        <w:rPr>
          <w:rFonts w:ascii="Garamond" w:hAnsi="Garamond"/>
          <w:bCs/>
        </w:rPr>
        <w:t xml:space="preserve"> by public health authorities</w:t>
      </w:r>
      <w:r w:rsidR="00616C99">
        <w:rPr>
          <w:rFonts w:ascii="Garamond" w:hAnsi="Garamond"/>
          <w:bCs/>
        </w:rPr>
        <w:t>—ending in the year 2019—</w:t>
      </w:r>
      <w:r w:rsidR="00CE0CAF">
        <w:rPr>
          <w:rFonts w:ascii="Garamond" w:hAnsi="Garamond"/>
          <w:bCs/>
        </w:rPr>
        <w:t xml:space="preserve">attributes </w:t>
      </w:r>
      <w:r w:rsidR="000B562F">
        <w:rPr>
          <w:rFonts w:ascii="Garamond" w:hAnsi="Garamond"/>
          <w:bCs/>
        </w:rPr>
        <w:t>12</w:t>
      </w:r>
      <w:r w:rsidR="00CE0CAF">
        <w:rPr>
          <w:rFonts w:ascii="Garamond" w:hAnsi="Garamond"/>
          <w:bCs/>
        </w:rPr>
        <w:t>.</w:t>
      </w:r>
      <w:r w:rsidR="000B562F">
        <w:rPr>
          <w:rFonts w:ascii="Garamond" w:hAnsi="Garamond"/>
          <w:bCs/>
        </w:rPr>
        <w:t>8</w:t>
      </w:r>
      <w:r w:rsidR="00CE0CAF">
        <w:rPr>
          <w:rFonts w:ascii="Garamond" w:hAnsi="Garamond"/>
          <w:bCs/>
        </w:rPr>
        <w:t xml:space="preserve">% of </w:t>
      </w:r>
      <w:r w:rsidR="00CE0CAF">
        <w:rPr>
          <w:rFonts w:ascii="Garamond" w:hAnsi="Garamond"/>
          <w:bCs/>
          <w:i/>
          <w:iCs/>
        </w:rPr>
        <w:t xml:space="preserve">Salmonella </w:t>
      </w:r>
      <w:r w:rsidR="00CE0CAF">
        <w:rPr>
          <w:rFonts w:ascii="Garamond" w:hAnsi="Garamond"/>
          <w:bCs/>
        </w:rPr>
        <w:t>infections to pork</w:t>
      </w:r>
      <w:r w:rsidR="000B562F">
        <w:rPr>
          <w:rFonts w:ascii="Garamond" w:hAnsi="Garamond"/>
          <w:bCs/>
        </w:rPr>
        <w:t>.</w:t>
      </w:r>
      <w:r w:rsidR="000B562F">
        <w:rPr>
          <w:rStyle w:val="FootnoteReference"/>
          <w:rFonts w:ascii="Garamond" w:hAnsi="Garamond"/>
          <w:bCs/>
        </w:rPr>
        <w:footnoteReference w:id="3"/>
      </w:r>
      <w:r w:rsidR="000B562F">
        <w:rPr>
          <w:rFonts w:ascii="Garamond" w:hAnsi="Garamond"/>
          <w:bCs/>
        </w:rPr>
        <w:t xml:space="preserve"> Th</w:t>
      </w:r>
      <w:r w:rsidR="00616C99">
        <w:rPr>
          <w:rFonts w:ascii="Garamond" w:hAnsi="Garamond"/>
          <w:bCs/>
        </w:rPr>
        <w:t xml:space="preserve">is figure has </w:t>
      </w:r>
      <w:r w:rsidR="00910EF7">
        <w:rPr>
          <w:rFonts w:ascii="Garamond" w:hAnsi="Garamond"/>
          <w:bCs/>
        </w:rPr>
        <w:t xml:space="preserve">grown significantly </w:t>
      </w:r>
      <w:r w:rsidR="00616C99">
        <w:rPr>
          <w:rFonts w:ascii="Garamond" w:hAnsi="Garamond"/>
          <w:bCs/>
        </w:rPr>
        <w:t>in just the two years</w:t>
      </w:r>
      <w:r w:rsidR="00910EF7">
        <w:rPr>
          <w:rFonts w:ascii="Garamond" w:hAnsi="Garamond"/>
          <w:bCs/>
        </w:rPr>
        <w:t xml:space="preserve"> since the estimates cited in the proposed rule,</w:t>
      </w:r>
      <w:r w:rsidR="00616C99">
        <w:rPr>
          <w:rFonts w:ascii="Garamond" w:hAnsi="Garamond"/>
          <w:bCs/>
        </w:rPr>
        <w:t xml:space="preserve"> </w:t>
      </w:r>
      <w:r w:rsidR="00910EF7">
        <w:rPr>
          <w:rFonts w:ascii="Garamond" w:hAnsi="Garamond"/>
          <w:bCs/>
        </w:rPr>
        <w:t xml:space="preserve">which attribute </w:t>
      </w:r>
      <w:r w:rsidR="00616C99">
        <w:rPr>
          <w:rFonts w:ascii="Garamond" w:hAnsi="Garamond"/>
          <w:bCs/>
        </w:rPr>
        <w:t>10.3% of salmonellosis cases to pork. And pork’s current contribution</w:t>
      </w:r>
      <w:r w:rsidR="000B562F">
        <w:rPr>
          <w:rFonts w:ascii="Garamond" w:hAnsi="Garamond"/>
          <w:bCs/>
        </w:rPr>
        <w:t xml:space="preserve"> </w:t>
      </w:r>
      <w:r w:rsidR="00616C99">
        <w:rPr>
          <w:rFonts w:ascii="Garamond" w:hAnsi="Garamond"/>
          <w:bCs/>
        </w:rPr>
        <w:t xml:space="preserve">to </w:t>
      </w:r>
      <w:r w:rsidR="00616C99">
        <w:rPr>
          <w:rFonts w:ascii="Garamond" w:hAnsi="Garamond"/>
          <w:bCs/>
          <w:i/>
          <w:iCs/>
        </w:rPr>
        <w:t xml:space="preserve">Salmonella </w:t>
      </w:r>
      <w:r w:rsidR="00616C99">
        <w:rPr>
          <w:rFonts w:ascii="Garamond" w:hAnsi="Garamond"/>
          <w:bCs/>
        </w:rPr>
        <w:t xml:space="preserve">illness is </w:t>
      </w:r>
      <w:r w:rsidR="000B562F">
        <w:rPr>
          <w:rFonts w:ascii="Garamond" w:hAnsi="Garamond"/>
          <w:bCs/>
        </w:rPr>
        <w:t xml:space="preserve">more than double </w:t>
      </w:r>
      <w:r w:rsidR="00ED3124">
        <w:rPr>
          <w:rFonts w:ascii="Garamond" w:hAnsi="Garamond"/>
          <w:bCs/>
        </w:rPr>
        <w:t xml:space="preserve">of </w:t>
      </w:r>
      <w:r w:rsidR="00230C18">
        <w:rPr>
          <w:rFonts w:ascii="Garamond" w:hAnsi="Garamond"/>
          <w:bCs/>
        </w:rPr>
        <w:t>what it was in</w:t>
      </w:r>
      <w:r w:rsidR="000B562F">
        <w:rPr>
          <w:rFonts w:ascii="Garamond" w:hAnsi="Garamond"/>
          <w:bCs/>
        </w:rPr>
        <w:t xml:space="preserve"> the late 1990s. Only chicken</w:t>
      </w:r>
      <w:r w:rsidR="00376A14">
        <w:rPr>
          <w:rFonts w:ascii="Garamond" w:hAnsi="Garamond"/>
          <w:bCs/>
        </w:rPr>
        <w:t xml:space="preserve"> (16.8%) and the broad category of fruits</w:t>
      </w:r>
      <w:r w:rsidR="001833DB">
        <w:rPr>
          <w:rFonts w:ascii="Garamond" w:hAnsi="Garamond"/>
          <w:bCs/>
        </w:rPr>
        <w:t xml:space="preserve"> </w:t>
      </w:r>
      <w:r w:rsidR="00376A14">
        <w:rPr>
          <w:rFonts w:ascii="Garamond" w:hAnsi="Garamond"/>
          <w:bCs/>
        </w:rPr>
        <w:t xml:space="preserve">(13.5%) are estimated to cause more </w:t>
      </w:r>
      <w:r w:rsidR="00376A14">
        <w:rPr>
          <w:rFonts w:ascii="Garamond" w:hAnsi="Garamond"/>
          <w:bCs/>
          <w:i/>
          <w:iCs/>
        </w:rPr>
        <w:t xml:space="preserve">Salmonella </w:t>
      </w:r>
      <w:r w:rsidR="00376A14">
        <w:rPr>
          <w:rFonts w:ascii="Garamond" w:hAnsi="Garamond"/>
          <w:bCs/>
        </w:rPr>
        <w:t>infections than pork</w:t>
      </w:r>
      <w:r w:rsidR="00230C18">
        <w:rPr>
          <w:rFonts w:ascii="Garamond" w:hAnsi="Garamond"/>
          <w:bCs/>
        </w:rPr>
        <w:t xml:space="preserve">, which </w:t>
      </w:r>
      <w:r w:rsidR="00376A14">
        <w:rPr>
          <w:rFonts w:ascii="Garamond" w:hAnsi="Garamond"/>
          <w:bCs/>
        </w:rPr>
        <w:t xml:space="preserve">causes more salmonellosis than turkey, eggs, </w:t>
      </w:r>
      <w:r w:rsidR="00DF54BE">
        <w:rPr>
          <w:rFonts w:ascii="Garamond" w:hAnsi="Garamond"/>
          <w:bCs/>
        </w:rPr>
        <w:t>or</w:t>
      </w:r>
      <w:r w:rsidR="00376A14">
        <w:rPr>
          <w:rFonts w:ascii="Garamond" w:hAnsi="Garamond"/>
          <w:bCs/>
        </w:rPr>
        <w:t xml:space="preserve"> beef. </w:t>
      </w:r>
    </w:p>
    <w:p w14:paraId="71F17220" w14:textId="680336A6" w:rsidR="00230C18" w:rsidRDefault="00230C18" w:rsidP="009E6DAC">
      <w:pPr>
        <w:rPr>
          <w:rFonts w:ascii="Garamond" w:hAnsi="Garamond"/>
          <w:bCs/>
        </w:rPr>
      </w:pPr>
    </w:p>
    <w:p w14:paraId="5E546D92" w14:textId="2C8E44D4" w:rsidR="00BB65F5" w:rsidRDefault="00BB65F5" w:rsidP="009E6DAC">
      <w:pPr>
        <w:rPr>
          <w:rFonts w:ascii="Garamond" w:hAnsi="Garamond"/>
          <w:bCs/>
        </w:rPr>
      </w:pPr>
      <w:r>
        <w:rPr>
          <w:rFonts w:ascii="Garamond" w:hAnsi="Garamond"/>
          <w:bCs/>
        </w:rPr>
        <w:tab/>
      </w:r>
      <w:r>
        <w:rPr>
          <w:rFonts w:ascii="Garamond" w:hAnsi="Garamond"/>
          <w:bCs/>
          <w:u w:val="single"/>
        </w:rPr>
        <w:t>Background</w:t>
      </w:r>
    </w:p>
    <w:p w14:paraId="3F08E49B" w14:textId="344E90C9" w:rsidR="00BB65F5" w:rsidRDefault="00BB65F5" w:rsidP="009E6DAC">
      <w:pPr>
        <w:rPr>
          <w:rFonts w:ascii="Garamond" w:hAnsi="Garamond"/>
          <w:bCs/>
        </w:rPr>
      </w:pPr>
    </w:p>
    <w:p w14:paraId="6B618C54" w14:textId="00671865" w:rsidR="008D3843" w:rsidRDefault="00DE4AD3" w:rsidP="00DD76C9">
      <w:pPr>
        <w:rPr>
          <w:rFonts w:ascii="Garamond" w:hAnsi="Garamond"/>
          <w:bCs/>
        </w:rPr>
      </w:pPr>
      <w:r>
        <w:rPr>
          <w:rFonts w:ascii="Garamond" w:hAnsi="Garamond"/>
          <w:bCs/>
        </w:rPr>
        <w:tab/>
        <w:t xml:space="preserve">As noted in the proposed rule, these standards operate to implement FSIS’ 1996 </w:t>
      </w:r>
      <w:r w:rsidRPr="00DE4AD3">
        <w:rPr>
          <w:rFonts w:ascii="Garamond" w:hAnsi="Garamond"/>
          <w:bCs/>
        </w:rPr>
        <w:t xml:space="preserve">Pathogen Reduction; Hazard Analysis and Critical Control Point Systems </w:t>
      </w:r>
      <w:r>
        <w:rPr>
          <w:rFonts w:ascii="Garamond" w:hAnsi="Garamond"/>
          <w:bCs/>
        </w:rPr>
        <w:t>(PR/HACCP) rule.</w:t>
      </w:r>
      <w:r>
        <w:rPr>
          <w:rStyle w:val="FootnoteReference"/>
          <w:rFonts w:ascii="Garamond" w:hAnsi="Garamond"/>
          <w:bCs/>
        </w:rPr>
        <w:footnoteReference w:id="4"/>
      </w:r>
      <w:r>
        <w:rPr>
          <w:rFonts w:ascii="Garamond" w:hAnsi="Garamond"/>
          <w:bCs/>
        </w:rPr>
        <w:t xml:space="preserve"> </w:t>
      </w:r>
      <w:r w:rsidR="008D3843">
        <w:rPr>
          <w:rFonts w:ascii="Garamond" w:hAnsi="Garamond"/>
          <w:bCs/>
        </w:rPr>
        <w:t>According to FSIS’ own characterization, the PR/HACCP rule makes little sense without meaningful m</w:t>
      </w:r>
      <w:r w:rsidRPr="00DE4AD3">
        <w:rPr>
          <w:rFonts w:ascii="Garamond" w:hAnsi="Garamond"/>
          <w:bCs/>
        </w:rPr>
        <w:t>icrobial performance standards</w:t>
      </w:r>
      <w:r w:rsidR="009A7F92">
        <w:rPr>
          <w:rFonts w:ascii="Garamond" w:hAnsi="Garamond"/>
          <w:bCs/>
        </w:rPr>
        <w:t>:</w:t>
      </w:r>
      <w:r w:rsidR="008D3843">
        <w:rPr>
          <w:rFonts w:ascii="Garamond" w:hAnsi="Garamond"/>
          <w:bCs/>
        </w:rPr>
        <w:t xml:space="preserve"> “</w:t>
      </w:r>
      <w:r w:rsidR="008D3843" w:rsidRPr="008D3843">
        <w:rPr>
          <w:rFonts w:ascii="Garamond" w:hAnsi="Garamond"/>
          <w:bCs/>
        </w:rPr>
        <w:t xml:space="preserve">microbiological </w:t>
      </w:r>
      <w:r w:rsidR="008D3843">
        <w:rPr>
          <w:rFonts w:ascii="Garamond" w:hAnsi="Garamond"/>
          <w:bCs/>
        </w:rPr>
        <w:t>p</w:t>
      </w:r>
      <w:r w:rsidR="008D3843" w:rsidRPr="008D3843">
        <w:rPr>
          <w:rFonts w:ascii="Garamond" w:hAnsi="Garamond"/>
          <w:bCs/>
        </w:rPr>
        <w:t xml:space="preserve">erformance standards” </w:t>
      </w:r>
      <w:r w:rsidR="008D3843">
        <w:rPr>
          <w:rFonts w:ascii="Garamond" w:hAnsi="Garamond"/>
          <w:bCs/>
        </w:rPr>
        <w:t>are</w:t>
      </w:r>
      <w:r w:rsidR="008D3843" w:rsidRPr="008D3843">
        <w:rPr>
          <w:rFonts w:ascii="Garamond" w:hAnsi="Garamond"/>
          <w:bCs/>
        </w:rPr>
        <w:t xml:space="preserve"> “part of a fundamental shift in FSIS</w:t>
      </w:r>
      <w:r w:rsidR="008D3843">
        <w:rPr>
          <w:rFonts w:ascii="Garamond" w:hAnsi="Garamond"/>
          <w:bCs/>
        </w:rPr>
        <w:t xml:space="preserve"> </w:t>
      </w:r>
      <w:r w:rsidR="008D3843" w:rsidRPr="008D3843">
        <w:rPr>
          <w:rFonts w:ascii="Garamond" w:hAnsi="Garamond"/>
          <w:bCs/>
        </w:rPr>
        <w:t>regulatory philosophy and strategy,” away from “intensive ‘command-and-control’ prescription”</w:t>
      </w:r>
      <w:r w:rsidR="008D3843">
        <w:rPr>
          <w:rFonts w:ascii="Garamond" w:hAnsi="Garamond"/>
          <w:bCs/>
        </w:rPr>
        <w:t xml:space="preserve"> </w:t>
      </w:r>
      <w:r w:rsidR="008D3843" w:rsidRPr="008D3843">
        <w:rPr>
          <w:rFonts w:ascii="Garamond" w:hAnsi="Garamond"/>
          <w:bCs/>
        </w:rPr>
        <w:t>towards a system that sets objective targets while “</w:t>
      </w:r>
      <w:proofErr w:type="spellStart"/>
      <w:r w:rsidR="008D3843" w:rsidRPr="008D3843">
        <w:rPr>
          <w:rFonts w:ascii="Garamond" w:hAnsi="Garamond"/>
          <w:bCs/>
        </w:rPr>
        <w:t>provid</w:t>
      </w:r>
      <w:proofErr w:type="spellEnd"/>
      <w:r w:rsidR="008D3843" w:rsidRPr="008D3843">
        <w:rPr>
          <w:rFonts w:ascii="Garamond" w:hAnsi="Garamond"/>
          <w:bCs/>
        </w:rPr>
        <w:t>[</w:t>
      </w:r>
      <w:proofErr w:type="spellStart"/>
      <w:r w:rsidR="008D3843" w:rsidRPr="008D3843">
        <w:rPr>
          <w:rFonts w:ascii="Garamond" w:hAnsi="Garamond"/>
          <w:bCs/>
        </w:rPr>
        <w:t>ing</w:t>
      </w:r>
      <w:proofErr w:type="spellEnd"/>
      <w:r w:rsidR="008D3843" w:rsidRPr="008D3843">
        <w:rPr>
          <w:rFonts w:ascii="Garamond" w:hAnsi="Garamond"/>
          <w:bCs/>
        </w:rPr>
        <w:t>] industry with the flexibility to devise</w:t>
      </w:r>
      <w:r w:rsidR="008D3843">
        <w:rPr>
          <w:rFonts w:ascii="Garamond" w:hAnsi="Garamond"/>
          <w:bCs/>
        </w:rPr>
        <w:t xml:space="preserve"> </w:t>
      </w:r>
      <w:r w:rsidR="008D3843" w:rsidRPr="008D3843">
        <w:rPr>
          <w:rFonts w:ascii="Garamond" w:hAnsi="Garamond"/>
          <w:bCs/>
        </w:rPr>
        <w:t>the optimal means of achieving food safety objectives.”</w:t>
      </w:r>
      <w:r w:rsidR="008D3843">
        <w:rPr>
          <w:rStyle w:val="FootnoteReference"/>
          <w:rFonts w:ascii="Garamond" w:hAnsi="Garamond"/>
          <w:bCs/>
        </w:rPr>
        <w:footnoteReference w:id="5"/>
      </w:r>
      <w:r w:rsidR="008D3843">
        <w:rPr>
          <w:rFonts w:ascii="Garamond" w:hAnsi="Garamond"/>
          <w:bCs/>
        </w:rPr>
        <w:t xml:space="preserve"> </w:t>
      </w:r>
      <w:r w:rsidR="009A7F92">
        <w:rPr>
          <w:rFonts w:ascii="Garamond" w:hAnsi="Garamond"/>
          <w:bCs/>
        </w:rPr>
        <w:t>As FSIS explained in 1996</w:t>
      </w:r>
      <w:r w:rsidR="00DD76C9">
        <w:rPr>
          <w:rFonts w:ascii="Garamond" w:hAnsi="Garamond"/>
          <w:bCs/>
        </w:rPr>
        <w:t>, “[p]</w:t>
      </w:r>
      <w:proofErr w:type="spellStart"/>
      <w:r w:rsidR="00DD76C9" w:rsidRPr="00DD76C9">
        <w:rPr>
          <w:rFonts w:ascii="Garamond" w:hAnsi="Garamond"/>
          <w:bCs/>
        </w:rPr>
        <w:t>athogen</w:t>
      </w:r>
      <w:proofErr w:type="spellEnd"/>
      <w:r w:rsidR="00DD76C9" w:rsidRPr="00DD76C9">
        <w:rPr>
          <w:rFonts w:ascii="Garamond" w:hAnsi="Garamond"/>
          <w:bCs/>
        </w:rPr>
        <w:t>-specific performance standards for raw products are an essential component of the</w:t>
      </w:r>
      <w:r w:rsidR="00DD76C9">
        <w:rPr>
          <w:rFonts w:ascii="Garamond" w:hAnsi="Garamond"/>
          <w:bCs/>
        </w:rPr>
        <w:t xml:space="preserve"> </w:t>
      </w:r>
      <w:r w:rsidR="00DD76C9" w:rsidRPr="00DD76C9">
        <w:rPr>
          <w:rFonts w:ascii="Garamond" w:hAnsi="Garamond"/>
          <w:bCs/>
        </w:rPr>
        <w:t>FSIS food safety strategy because they provide a direct measure of progress in controlling and</w:t>
      </w:r>
      <w:r w:rsidR="00DD76C9">
        <w:rPr>
          <w:rFonts w:ascii="Garamond" w:hAnsi="Garamond"/>
          <w:bCs/>
        </w:rPr>
        <w:t xml:space="preserve"> </w:t>
      </w:r>
      <w:r w:rsidR="00DD76C9" w:rsidRPr="00DD76C9">
        <w:rPr>
          <w:rFonts w:ascii="Garamond" w:hAnsi="Garamond"/>
          <w:bCs/>
        </w:rPr>
        <w:t>reducing the most significant hazards associated with raw meat and poultry products.</w:t>
      </w:r>
      <w:r w:rsidR="00DD76C9">
        <w:rPr>
          <w:rFonts w:ascii="Garamond" w:hAnsi="Garamond"/>
          <w:bCs/>
        </w:rPr>
        <w:t>”</w:t>
      </w:r>
      <w:r w:rsidR="00DD76C9">
        <w:rPr>
          <w:rStyle w:val="FootnoteReference"/>
          <w:rFonts w:ascii="Garamond" w:hAnsi="Garamond"/>
          <w:bCs/>
        </w:rPr>
        <w:footnoteReference w:id="6"/>
      </w:r>
    </w:p>
    <w:p w14:paraId="2B44BDED" w14:textId="67F50984" w:rsidR="00DD76C9" w:rsidRDefault="00DD76C9" w:rsidP="00DD76C9">
      <w:pPr>
        <w:rPr>
          <w:rFonts w:ascii="Garamond" w:hAnsi="Garamond"/>
          <w:bCs/>
        </w:rPr>
      </w:pPr>
    </w:p>
    <w:p w14:paraId="27DC6A1C" w14:textId="4EEF4F25" w:rsidR="00DF54BE" w:rsidRDefault="00DD76C9" w:rsidP="00D42C5A">
      <w:pPr>
        <w:rPr>
          <w:rFonts w:ascii="Garamond" w:hAnsi="Garamond"/>
          <w:bCs/>
        </w:rPr>
      </w:pPr>
      <w:r>
        <w:rPr>
          <w:rFonts w:ascii="Garamond" w:hAnsi="Garamond"/>
          <w:bCs/>
        </w:rPr>
        <w:tab/>
        <w:t xml:space="preserve">Given the “essential” relationship of microbiological performance standards to the FSIS regulatory scheme, the agency’s decision to operate without a performance standard for pork over the past decade </w:t>
      </w:r>
      <w:r w:rsidR="00354916">
        <w:rPr>
          <w:rFonts w:ascii="Garamond" w:hAnsi="Garamond"/>
          <w:bCs/>
        </w:rPr>
        <w:t>is perplexing</w:t>
      </w:r>
      <w:r>
        <w:rPr>
          <w:rFonts w:ascii="Garamond" w:hAnsi="Garamond"/>
          <w:bCs/>
        </w:rPr>
        <w:t xml:space="preserve">. </w:t>
      </w:r>
      <w:r w:rsidR="008912D6">
        <w:rPr>
          <w:rFonts w:ascii="Garamond" w:hAnsi="Garamond"/>
          <w:bCs/>
        </w:rPr>
        <w:t xml:space="preserve">As the proposed rule indicates, the 1996 PR/HACCP rule established a </w:t>
      </w:r>
      <w:r w:rsidR="008912D6">
        <w:rPr>
          <w:rFonts w:ascii="Garamond" w:hAnsi="Garamond"/>
          <w:bCs/>
          <w:i/>
          <w:iCs/>
        </w:rPr>
        <w:t xml:space="preserve">Salmonella </w:t>
      </w:r>
      <w:r w:rsidR="008912D6">
        <w:rPr>
          <w:rFonts w:ascii="Garamond" w:hAnsi="Garamond"/>
          <w:bCs/>
        </w:rPr>
        <w:t>performance standard for whole pork carcasses. However, by 2012</w:t>
      </w:r>
      <w:r w:rsidR="008D0166">
        <w:rPr>
          <w:rFonts w:ascii="Garamond" w:hAnsi="Garamond"/>
          <w:bCs/>
        </w:rPr>
        <w:t>,</w:t>
      </w:r>
      <w:r w:rsidR="008912D6">
        <w:rPr>
          <w:rFonts w:ascii="Garamond" w:hAnsi="Garamond"/>
          <w:bCs/>
        </w:rPr>
        <w:t xml:space="preserve"> pork processors had become so adept at using anti-microbial sprays</w:t>
      </w:r>
      <w:r w:rsidR="008912D6">
        <w:rPr>
          <w:rStyle w:val="FootnoteReference"/>
          <w:rFonts w:ascii="Garamond" w:hAnsi="Garamond"/>
          <w:bCs/>
        </w:rPr>
        <w:footnoteReference w:id="7"/>
      </w:r>
      <w:r w:rsidR="008912D6">
        <w:rPr>
          <w:rFonts w:ascii="Garamond" w:hAnsi="Garamond"/>
          <w:bCs/>
        </w:rPr>
        <w:t xml:space="preserve"> and other </w:t>
      </w:r>
      <w:r w:rsidR="009A7F92">
        <w:rPr>
          <w:rFonts w:ascii="Garamond" w:hAnsi="Garamond"/>
          <w:bCs/>
        </w:rPr>
        <w:t>strategies</w:t>
      </w:r>
      <w:r w:rsidR="008912D6">
        <w:rPr>
          <w:rFonts w:ascii="Garamond" w:hAnsi="Garamond"/>
          <w:bCs/>
        </w:rPr>
        <w:t xml:space="preserve"> to avoid generating positive samples</w:t>
      </w:r>
      <w:r w:rsidR="00674D82">
        <w:rPr>
          <w:rFonts w:ascii="Garamond" w:hAnsi="Garamond"/>
          <w:bCs/>
        </w:rPr>
        <w:t xml:space="preserve"> that </w:t>
      </w:r>
      <w:r w:rsidR="008912D6">
        <w:rPr>
          <w:rFonts w:ascii="Garamond" w:hAnsi="Garamond"/>
          <w:bCs/>
        </w:rPr>
        <w:t xml:space="preserve">FSIS decided to abandon its efforts to test against the standard. </w:t>
      </w:r>
      <w:r w:rsidR="00B577B8">
        <w:rPr>
          <w:rFonts w:ascii="Garamond" w:hAnsi="Garamond"/>
          <w:bCs/>
        </w:rPr>
        <w:t xml:space="preserve">FSIS declined to replace the discredited whole carcass standard with some other measure of </w:t>
      </w:r>
      <w:r w:rsidR="00B577B8">
        <w:rPr>
          <w:rFonts w:ascii="Garamond" w:hAnsi="Garamond"/>
          <w:bCs/>
          <w:i/>
          <w:iCs/>
        </w:rPr>
        <w:t xml:space="preserve">Salmonella </w:t>
      </w:r>
      <w:r w:rsidR="00B577B8">
        <w:rPr>
          <w:rFonts w:ascii="Garamond" w:hAnsi="Garamond"/>
          <w:bCs/>
        </w:rPr>
        <w:t>contamination in pork</w:t>
      </w:r>
      <w:r w:rsidR="00E144FE">
        <w:rPr>
          <w:rFonts w:ascii="Garamond" w:hAnsi="Garamond"/>
          <w:bCs/>
        </w:rPr>
        <w:t>,</w:t>
      </w:r>
      <w:r w:rsidR="00B577B8">
        <w:rPr>
          <w:rFonts w:ascii="Garamond" w:hAnsi="Garamond"/>
          <w:bCs/>
        </w:rPr>
        <w:t xml:space="preserve"> even as it sought to overhaul the pork processing inspection system</w:t>
      </w:r>
      <w:r w:rsidR="00DB1EC9">
        <w:rPr>
          <w:rFonts w:ascii="Garamond" w:hAnsi="Garamond"/>
          <w:bCs/>
        </w:rPr>
        <w:t xml:space="preserve"> and allow processors to increase line speeds</w:t>
      </w:r>
      <w:r w:rsidR="00B577B8">
        <w:rPr>
          <w:rFonts w:ascii="Garamond" w:hAnsi="Garamond"/>
          <w:bCs/>
        </w:rPr>
        <w:t xml:space="preserve"> through expansion of the pilot </w:t>
      </w:r>
      <w:r w:rsidR="00B577B8" w:rsidRPr="00B577B8">
        <w:rPr>
          <w:rFonts w:ascii="Garamond" w:hAnsi="Garamond"/>
          <w:bCs/>
        </w:rPr>
        <w:t>HACCP-based Inspection Models Project (HIMP)</w:t>
      </w:r>
      <w:r w:rsidR="00DB1EC9">
        <w:rPr>
          <w:rFonts w:ascii="Garamond" w:hAnsi="Garamond"/>
          <w:bCs/>
        </w:rPr>
        <w:t xml:space="preserve">. As CFA explained in comments on the agency’s proposal to expand HIMP, the absence of </w:t>
      </w:r>
      <w:r w:rsidR="00DB1EC9">
        <w:rPr>
          <w:rFonts w:ascii="Garamond" w:hAnsi="Garamond"/>
          <w:bCs/>
        </w:rPr>
        <w:lastRenderedPageBreak/>
        <w:t xml:space="preserve">microbiological performance standards left the agency unable to meaningfully evaluate the food safety performance of HIMP pilot plants, and </w:t>
      </w:r>
      <w:r w:rsidR="00D42C5A">
        <w:rPr>
          <w:rFonts w:ascii="Garamond" w:hAnsi="Garamond"/>
          <w:bCs/>
        </w:rPr>
        <w:t>of plants</w:t>
      </w:r>
      <w:r w:rsidR="00DB1EC9">
        <w:rPr>
          <w:rFonts w:ascii="Garamond" w:hAnsi="Garamond"/>
          <w:bCs/>
        </w:rPr>
        <w:t xml:space="preserve"> that have since sought to join the </w:t>
      </w:r>
      <w:r w:rsidR="00D42C5A">
        <w:rPr>
          <w:rFonts w:ascii="Garamond" w:hAnsi="Garamond"/>
          <w:bCs/>
        </w:rPr>
        <w:t>program.</w:t>
      </w:r>
      <w:r w:rsidR="00DF54BE">
        <w:rPr>
          <w:rStyle w:val="FootnoteReference"/>
          <w:rFonts w:ascii="Garamond" w:hAnsi="Garamond"/>
          <w:bCs/>
        </w:rPr>
        <w:footnoteReference w:id="8"/>
      </w:r>
    </w:p>
    <w:p w14:paraId="59D63312" w14:textId="6CD7A4DB" w:rsidR="00DB1EC9" w:rsidRDefault="00D42C5A" w:rsidP="00D42C5A">
      <w:pPr>
        <w:rPr>
          <w:rFonts w:ascii="Garamond" w:hAnsi="Garamond"/>
          <w:bCs/>
        </w:rPr>
      </w:pPr>
      <w:r>
        <w:rPr>
          <w:rFonts w:ascii="Garamond" w:hAnsi="Garamond"/>
          <w:bCs/>
        </w:rPr>
        <w:t xml:space="preserve"> </w:t>
      </w:r>
    </w:p>
    <w:p w14:paraId="6CE5B24B" w14:textId="7659F0B5" w:rsidR="00DB1EC9" w:rsidRPr="00D42C5A" w:rsidRDefault="00D42C5A" w:rsidP="00DB1EC9">
      <w:pPr>
        <w:ind w:firstLine="720"/>
        <w:rPr>
          <w:rFonts w:ascii="Garamond" w:hAnsi="Garamond"/>
          <w:bCs/>
          <w:u w:val="single"/>
        </w:rPr>
      </w:pPr>
      <w:r>
        <w:rPr>
          <w:rFonts w:ascii="Garamond" w:hAnsi="Garamond"/>
          <w:bCs/>
          <w:u w:val="single"/>
        </w:rPr>
        <w:t>The proposed performance standards</w:t>
      </w:r>
      <w:r w:rsidR="00186043">
        <w:rPr>
          <w:rFonts w:ascii="Garamond" w:hAnsi="Garamond"/>
          <w:bCs/>
          <w:u w:val="single"/>
        </w:rPr>
        <w:t xml:space="preserve"> and </w:t>
      </w:r>
      <w:r w:rsidR="00114544">
        <w:rPr>
          <w:rFonts w:ascii="Garamond" w:hAnsi="Garamond"/>
          <w:bCs/>
          <w:u w:val="single"/>
        </w:rPr>
        <w:t>public disclosure of</w:t>
      </w:r>
      <w:r w:rsidR="00186043">
        <w:rPr>
          <w:rFonts w:ascii="Garamond" w:hAnsi="Garamond"/>
          <w:bCs/>
          <w:u w:val="single"/>
        </w:rPr>
        <w:t xml:space="preserve"> compliance data</w:t>
      </w:r>
      <w:r>
        <w:rPr>
          <w:rFonts w:ascii="Garamond" w:hAnsi="Garamond"/>
          <w:bCs/>
          <w:u w:val="single"/>
        </w:rPr>
        <w:t xml:space="preserve"> are long overdue</w:t>
      </w:r>
      <w:r w:rsidR="00186043">
        <w:rPr>
          <w:rFonts w:ascii="Garamond" w:hAnsi="Garamond"/>
          <w:bCs/>
          <w:u w:val="single"/>
        </w:rPr>
        <w:t>.</w:t>
      </w:r>
    </w:p>
    <w:p w14:paraId="2C70A5A6" w14:textId="77777777" w:rsidR="00354916" w:rsidRDefault="00354916" w:rsidP="00354916">
      <w:pPr>
        <w:rPr>
          <w:rFonts w:ascii="Garamond" w:hAnsi="Garamond"/>
          <w:bCs/>
        </w:rPr>
      </w:pPr>
    </w:p>
    <w:p w14:paraId="041E9FE4" w14:textId="1E83D8DD" w:rsidR="009A7F92" w:rsidRPr="008B2139" w:rsidRDefault="00602693" w:rsidP="00354916">
      <w:pPr>
        <w:ind w:firstLine="720"/>
        <w:rPr>
          <w:rFonts w:ascii="Garamond" w:hAnsi="Garamond"/>
          <w:bCs/>
        </w:rPr>
      </w:pPr>
      <w:r>
        <w:rPr>
          <w:rFonts w:ascii="Garamond" w:hAnsi="Garamond"/>
          <w:bCs/>
        </w:rPr>
        <w:t>The proposed rule explains that, i</w:t>
      </w:r>
      <w:r w:rsidR="00D42C5A">
        <w:rPr>
          <w:rFonts w:ascii="Garamond" w:hAnsi="Garamond"/>
          <w:bCs/>
        </w:rPr>
        <w:t>n the years leading up to 2012,</w:t>
      </w:r>
      <w:r w:rsidR="009A7F92">
        <w:rPr>
          <w:rFonts w:ascii="Garamond" w:hAnsi="Garamond"/>
          <w:bCs/>
        </w:rPr>
        <w:t xml:space="preserve"> </w:t>
      </w:r>
      <w:r w:rsidR="00FD6FD9">
        <w:rPr>
          <w:rFonts w:ascii="Garamond" w:hAnsi="Garamond"/>
          <w:bCs/>
        </w:rPr>
        <w:t xml:space="preserve">“percent positive findings were very low” in </w:t>
      </w:r>
      <w:r w:rsidR="009A7F92">
        <w:rPr>
          <w:rFonts w:ascii="Garamond" w:hAnsi="Garamond"/>
          <w:bCs/>
        </w:rPr>
        <w:t xml:space="preserve">FSIS </w:t>
      </w:r>
      <w:r w:rsidR="008B2139">
        <w:rPr>
          <w:rFonts w:ascii="Garamond" w:hAnsi="Garamond"/>
          <w:bCs/>
        </w:rPr>
        <w:t xml:space="preserve">testing of </w:t>
      </w:r>
      <w:r w:rsidR="009A7F92">
        <w:rPr>
          <w:rFonts w:ascii="Garamond" w:hAnsi="Garamond"/>
          <w:bCs/>
        </w:rPr>
        <w:t xml:space="preserve">whole </w:t>
      </w:r>
      <w:r w:rsidR="008B2139">
        <w:rPr>
          <w:rFonts w:ascii="Garamond" w:hAnsi="Garamond"/>
          <w:bCs/>
        </w:rPr>
        <w:t xml:space="preserve">hog </w:t>
      </w:r>
      <w:r w:rsidR="009A7F92">
        <w:rPr>
          <w:rFonts w:ascii="Garamond" w:hAnsi="Garamond"/>
          <w:bCs/>
        </w:rPr>
        <w:t>carcass</w:t>
      </w:r>
      <w:r w:rsidR="008B2139">
        <w:rPr>
          <w:rFonts w:ascii="Garamond" w:hAnsi="Garamond"/>
          <w:bCs/>
        </w:rPr>
        <w:t>es</w:t>
      </w:r>
      <w:r>
        <w:rPr>
          <w:rFonts w:ascii="Garamond" w:hAnsi="Garamond"/>
          <w:bCs/>
        </w:rPr>
        <w:t xml:space="preserve">, and so the agency decided to stop testing against that standard. Nevertheless, </w:t>
      </w:r>
      <w:r w:rsidR="00D42C5A">
        <w:rPr>
          <w:rFonts w:ascii="Garamond" w:hAnsi="Garamond"/>
          <w:bCs/>
        </w:rPr>
        <w:t xml:space="preserve">to this day, </w:t>
      </w:r>
      <w:r w:rsidR="00FD6FD9">
        <w:rPr>
          <w:rFonts w:ascii="Garamond" w:hAnsi="Garamond"/>
          <w:bCs/>
          <w:i/>
          <w:iCs/>
        </w:rPr>
        <w:t xml:space="preserve">Salmonella </w:t>
      </w:r>
      <w:r w:rsidR="00FD6FD9">
        <w:rPr>
          <w:rFonts w:ascii="Garamond" w:hAnsi="Garamond"/>
          <w:bCs/>
        </w:rPr>
        <w:t>contamination in pork products sold to consumers appears to have remained as high as ever</w:t>
      </w:r>
      <w:r w:rsidR="00D42C5A">
        <w:rPr>
          <w:rFonts w:ascii="Garamond" w:hAnsi="Garamond"/>
          <w:bCs/>
        </w:rPr>
        <w:t>.</w:t>
      </w:r>
      <w:r w:rsidR="00FD6FD9">
        <w:rPr>
          <w:rFonts w:ascii="Garamond" w:hAnsi="Garamond"/>
          <w:bCs/>
        </w:rPr>
        <w:t xml:space="preserve"> </w:t>
      </w:r>
      <w:r w:rsidR="00354916">
        <w:rPr>
          <w:rFonts w:ascii="Garamond" w:hAnsi="Garamond"/>
          <w:bCs/>
        </w:rPr>
        <w:t>A</w:t>
      </w:r>
      <w:r w:rsidR="008B2139">
        <w:rPr>
          <w:rFonts w:ascii="Garamond" w:hAnsi="Garamond"/>
          <w:bCs/>
        </w:rPr>
        <w:t xml:space="preserve">ccording to one recent analysis, a baseline study for ground pork reported in 2020 yielded essentially the same (alarmingly high) proportion of </w:t>
      </w:r>
      <w:r w:rsidR="008B2139">
        <w:rPr>
          <w:rFonts w:ascii="Garamond" w:hAnsi="Garamond"/>
          <w:bCs/>
          <w:i/>
          <w:iCs/>
        </w:rPr>
        <w:t xml:space="preserve">Salmonella </w:t>
      </w:r>
      <w:r w:rsidR="008B2139">
        <w:rPr>
          <w:rFonts w:ascii="Garamond" w:hAnsi="Garamond"/>
          <w:bCs/>
        </w:rPr>
        <w:t>positives (28.9%) as a similar study conducted in 1998</w:t>
      </w:r>
      <w:r w:rsidR="00FD6FD9">
        <w:rPr>
          <w:rFonts w:ascii="Garamond" w:hAnsi="Garamond"/>
          <w:bCs/>
        </w:rPr>
        <w:t>, in which 30% of samples tested positive.</w:t>
      </w:r>
      <w:r w:rsidR="00FD6FD9">
        <w:rPr>
          <w:rStyle w:val="FootnoteReference"/>
          <w:rFonts w:ascii="Garamond" w:hAnsi="Garamond"/>
          <w:bCs/>
        </w:rPr>
        <w:footnoteReference w:id="9"/>
      </w:r>
      <w:r w:rsidR="00FD6FD9">
        <w:rPr>
          <w:rFonts w:ascii="Garamond" w:hAnsi="Garamond"/>
          <w:bCs/>
        </w:rPr>
        <w:t xml:space="preserve"> </w:t>
      </w:r>
      <w:r w:rsidR="00103C07">
        <w:rPr>
          <w:rFonts w:ascii="Garamond" w:hAnsi="Garamond"/>
          <w:bCs/>
        </w:rPr>
        <w:t xml:space="preserve">Pork’s persistently high contamination rates contrast with declining rates for chicken, turkey, and beef. </w:t>
      </w:r>
      <w:r w:rsidR="00354916">
        <w:rPr>
          <w:rFonts w:ascii="Garamond" w:hAnsi="Garamond"/>
          <w:bCs/>
        </w:rPr>
        <w:t xml:space="preserve">The study authors, three of whom work at FSIS, speculate that </w:t>
      </w:r>
      <w:r w:rsidR="00114544">
        <w:rPr>
          <w:rFonts w:ascii="Garamond" w:hAnsi="Garamond"/>
          <w:bCs/>
        </w:rPr>
        <w:t>“</w:t>
      </w:r>
      <w:r w:rsidR="00114544" w:rsidRPr="00354916">
        <w:rPr>
          <w:rFonts w:ascii="Garamond" w:hAnsi="Garamond"/>
          <w:bCs/>
        </w:rPr>
        <w:t>the absence of performance standards</w:t>
      </w:r>
      <w:r w:rsidR="00114544">
        <w:rPr>
          <w:rFonts w:ascii="Garamond" w:hAnsi="Garamond"/>
          <w:bCs/>
        </w:rPr>
        <w:t>,” may account for this</w:t>
      </w:r>
      <w:r w:rsidR="00354916">
        <w:rPr>
          <w:rFonts w:ascii="Garamond" w:hAnsi="Garamond"/>
          <w:bCs/>
        </w:rPr>
        <w:t xml:space="preserve"> “</w:t>
      </w:r>
      <w:r w:rsidR="00354916" w:rsidRPr="00354916">
        <w:rPr>
          <w:rFonts w:ascii="Garamond" w:hAnsi="Garamond"/>
          <w:bCs/>
        </w:rPr>
        <w:t>lack of an observable</w:t>
      </w:r>
      <w:r w:rsidR="00354916">
        <w:rPr>
          <w:rFonts w:ascii="Garamond" w:hAnsi="Garamond"/>
          <w:bCs/>
        </w:rPr>
        <w:t xml:space="preserve"> </w:t>
      </w:r>
      <w:r w:rsidR="00354916" w:rsidRPr="00354916">
        <w:rPr>
          <w:rFonts w:ascii="Garamond" w:hAnsi="Garamond"/>
          <w:bCs/>
        </w:rPr>
        <w:t xml:space="preserve">reduction in </w:t>
      </w:r>
      <w:r w:rsidR="00354916" w:rsidRPr="00354916">
        <w:rPr>
          <w:rFonts w:ascii="Garamond" w:hAnsi="Garamond"/>
          <w:bCs/>
          <w:i/>
          <w:iCs/>
        </w:rPr>
        <w:t>Salmonella</w:t>
      </w:r>
      <w:r w:rsidR="00354916" w:rsidRPr="00354916">
        <w:rPr>
          <w:rFonts w:ascii="Garamond" w:hAnsi="Garamond"/>
          <w:bCs/>
        </w:rPr>
        <w:t xml:space="preserve"> prevalence for pork.</w:t>
      </w:r>
      <w:r w:rsidR="00354916">
        <w:rPr>
          <w:rFonts w:ascii="Garamond" w:hAnsi="Garamond"/>
          <w:bCs/>
        </w:rPr>
        <w:t>”</w:t>
      </w:r>
      <w:r w:rsidR="00354916">
        <w:rPr>
          <w:rStyle w:val="FootnoteReference"/>
          <w:rFonts w:ascii="Garamond" w:hAnsi="Garamond"/>
          <w:bCs/>
        </w:rPr>
        <w:footnoteReference w:id="10"/>
      </w:r>
      <w:r w:rsidR="00354916">
        <w:rPr>
          <w:rFonts w:ascii="Garamond" w:hAnsi="Garamond"/>
          <w:bCs/>
        </w:rPr>
        <w:t xml:space="preserve"> </w:t>
      </w:r>
    </w:p>
    <w:p w14:paraId="23387F1B" w14:textId="3FFB7A49" w:rsidR="008912D6" w:rsidRDefault="008912D6" w:rsidP="00DD76C9">
      <w:pPr>
        <w:rPr>
          <w:rFonts w:ascii="Garamond" w:hAnsi="Garamond"/>
          <w:bCs/>
        </w:rPr>
      </w:pPr>
    </w:p>
    <w:p w14:paraId="25C6377E" w14:textId="4DBC0DB7" w:rsidR="00F81EF9" w:rsidRDefault="00D42C5A" w:rsidP="00FA71D1">
      <w:pPr>
        <w:rPr>
          <w:rFonts w:ascii="Garamond" w:hAnsi="Garamond"/>
          <w:bCs/>
        </w:rPr>
      </w:pPr>
      <w:r>
        <w:rPr>
          <w:rFonts w:ascii="Garamond" w:hAnsi="Garamond"/>
          <w:bCs/>
        </w:rPr>
        <w:tab/>
      </w:r>
      <w:r w:rsidR="00103C07">
        <w:rPr>
          <w:rFonts w:ascii="Garamond" w:hAnsi="Garamond"/>
          <w:bCs/>
        </w:rPr>
        <w:t xml:space="preserve">Performance standards will </w:t>
      </w:r>
      <w:r w:rsidR="000C30FC">
        <w:rPr>
          <w:rFonts w:ascii="Garamond" w:hAnsi="Garamond"/>
          <w:bCs/>
        </w:rPr>
        <w:t xml:space="preserve">do little to drive down contamination rates, however, if </w:t>
      </w:r>
      <w:r w:rsidR="00186043">
        <w:rPr>
          <w:rFonts w:ascii="Garamond" w:hAnsi="Garamond"/>
          <w:bCs/>
        </w:rPr>
        <w:t xml:space="preserve">public disclosure of an establishment’s compliance status does not occur. </w:t>
      </w:r>
      <w:r w:rsidR="000C30FC">
        <w:rPr>
          <w:rFonts w:ascii="Garamond" w:hAnsi="Garamond"/>
          <w:bCs/>
        </w:rPr>
        <w:t xml:space="preserve">As discussed below, the </w:t>
      </w:r>
      <w:r w:rsidR="000C30FC" w:rsidRPr="000C30FC">
        <w:rPr>
          <w:rFonts w:ascii="Garamond" w:hAnsi="Garamond"/>
          <w:bCs/>
        </w:rPr>
        <w:t xml:space="preserve">Fifth Circuit Court of Appeal’s decision in </w:t>
      </w:r>
      <w:r w:rsidR="000C30FC" w:rsidRPr="00850262">
        <w:rPr>
          <w:rFonts w:ascii="Garamond" w:hAnsi="Garamond"/>
          <w:bCs/>
          <w:i/>
          <w:iCs/>
        </w:rPr>
        <w:t>Supreme Beef v. USDA</w:t>
      </w:r>
      <w:r w:rsidR="000C30FC">
        <w:rPr>
          <w:rFonts w:ascii="Garamond" w:hAnsi="Garamond"/>
          <w:bCs/>
        </w:rPr>
        <w:t xml:space="preserve"> has greatly diminished the effectiveness of </w:t>
      </w:r>
      <w:r w:rsidR="000C30FC">
        <w:rPr>
          <w:rFonts w:ascii="Garamond" w:hAnsi="Garamond"/>
          <w:bCs/>
          <w:i/>
          <w:iCs/>
        </w:rPr>
        <w:t xml:space="preserve">Salmonella </w:t>
      </w:r>
      <w:r w:rsidR="000C30FC">
        <w:rPr>
          <w:rFonts w:ascii="Garamond" w:hAnsi="Garamond"/>
          <w:bCs/>
        </w:rPr>
        <w:t>performance</w:t>
      </w:r>
      <w:r w:rsidR="00186043">
        <w:rPr>
          <w:rFonts w:ascii="Garamond" w:hAnsi="Garamond"/>
          <w:bCs/>
        </w:rPr>
        <w:t xml:space="preserve"> </w:t>
      </w:r>
      <w:r w:rsidR="000C30FC">
        <w:rPr>
          <w:rFonts w:ascii="Garamond" w:hAnsi="Garamond"/>
          <w:bCs/>
        </w:rPr>
        <w:t>standards</w:t>
      </w:r>
      <w:r w:rsidR="008B5058">
        <w:rPr>
          <w:rFonts w:ascii="Garamond" w:hAnsi="Garamond"/>
          <w:bCs/>
        </w:rPr>
        <w:t xml:space="preserve"> for meat and</w:t>
      </w:r>
      <w:r w:rsidR="00F358C7">
        <w:rPr>
          <w:rFonts w:ascii="Garamond" w:hAnsi="Garamond"/>
          <w:bCs/>
        </w:rPr>
        <w:t xml:space="preserve"> </w:t>
      </w:r>
      <w:r w:rsidR="008B5058">
        <w:rPr>
          <w:rFonts w:ascii="Garamond" w:hAnsi="Garamond"/>
          <w:bCs/>
        </w:rPr>
        <w:t>poultry</w:t>
      </w:r>
      <w:r w:rsidR="004A13A6">
        <w:rPr>
          <w:rFonts w:ascii="Garamond" w:hAnsi="Garamond"/>
          <w:bCs/>
        </w:rPr>
        <w:t xml:space="preserve">. With FSIS unable to enforce the standards, </w:t>
      </w:r>
      <w:r w:rsidR="008B5058">
        <w:rPr>
          <w:rFonts w:ascii="Garamond" w:hAnsi="Garamond"/>
          <w:bCs/>
        </w:rPr>
        <w:t xml:space="preserve">the agency must follow through on its </w:t>
      </w:r>
      <w:r w:rsidR="004A13A6">
        <w:rPr>
          <w:rFonts w:ascii="Garamond" w:hAnsi="Garamond"/>
          <w:bCs/>
        </w:rPr>
        <w:t>plan to post t</w:t>
      </w:r>
      <w:r w:rsidR="004A13A6" w:rsidRPr="004A13A6">
        <w:rPr>
          <w:rFonts w:ascii="Garamond" w:hAnsi="Garamond"/>
          <w:bCs/>
        </w:rPr>
        <w:t>he category of individual establishments on</w:t>
      </w:r>
      <w:r w:rsidR="004A13A6">
        <w:rPr>
          <w:rFonts w:ascii="Garamond" w:hAnsi="Garamond"/>
          <w:bCs/>
        </w:rPr>
        <w:t xml:space="preserve"> </w:t>
      </w:r>
      <w:r w:rsidR="004A13A6" w:rsidRPr="004A13A6">
        <w:rPr>
          <w:rFonts w:ascii="Garamond" w:hAnsi="Garamond"/>
          <w:bCs/>
        </w:rPr>
        <w:t>the FSIS website</w:t>
      </w:r>
      <w:r w:rsidR="008B5058">
        <w:rPr>
          <w:rFonts w:ascii="Garamond" w:hAnsi="Garamond"/>
          <w:bCs/>
        </w:rPr>
        <w:t>.</w:t>
      </w:r>
      <w:r w:rsidR="004A13A6" w:rsidRPr="004A13A6">
        <w:rPr>
          <w:rFonts w:ascii="Garamond" w:hAnsi="Garamond"/>
          <w:bCs/>
        </w:rPr>
        <w:t xml:space="preserve"> </w:t>
      </w:r>
      <w:r w:rsidR="002B5912">
        <w:rPr>
          <w:rFonts w:ascii="Garamond" w:hAnsi="Garamond"/>
          <w:bCs/>
        </w:rPr>
        <w:t xml:space="preserve">As FSIS noted in its recent proposed rule to establish new </w:t>
      </w:r>
      <w:r w:rsidR="002B5912">
        <w:rPr>
          <w:rFonts w:ascii="Garamond" w:hAnsi="Garamond"/>
          <w:bCs/>
          <w:i/>
          <w:iCs/>
        </w:rPr>
        <w:t xml:space="preserve">Salmonella </w:t>
      </w:r>
      <w:r w:rsidR="002B5912">
        <w:rPr>
          <w:rFonts w:ascii="Garamond" w:hAnsi="Garamond"/>
          <w:bCs/>
        </w:rPr>
        <w:t>performance standards for beef,</w:t>
      </w:r>
      <w:r w:rsidR="004A13A6" w:rsidRPr="004A13A6">
        <w:rPr>
          <w:rFonts w:ascii="Garamond" w:hAnsi="Garamond"/>
          <w:bCs/>
        </w:rPr>
        <w:t xml:space="preserve"> “web posting delivers greater transparency, thereby</w:t>
      </w:r>
      <w:r w:rsidR="004A13A6">
        <w:rPr>
          <w:rFonts w:ascii="Garamond" w:hAnsi="Garamond"/>
          <w:bCs/>
        </w:rPr>
        <w:t xml:space="preserve"> </w:t>
      </w:r>
      <w:r w:rsidR="004A13A6" w:rsidRPr="004A13A6">
        <w:rPr>
          <w:rFonts w:ascii="Garamond" w:hAnsi="Garamond"/>
          <w:bCs/>
        </w:rPr>
        <w:t>providing the public with the tools and information it needs to make informed food safety</w:t>
      </w:r>
      <w:r w:rsidR="002B5912">
        <w:rPr>
          <w:rFonts w:ascii="Garamond" w:hAnsi="Garamond"/>
          <w:bCs/>
        </w:rPr>
        <w:t xml:space="preserve"> </w:t>
      </w:r>
      <w:r w:rsidR="004A13A6" w:rsidRPr="004A13A6">
        <w:rPr>
          <w:rFonts w:ascii="Garamond" w:hAnsi="Garamond"/>
          <w:bCs/>
        </w:rPr>
        <w:t>decisions.”</w:t>
      </w:r>
      <w:r w:rsidR="002B5912">
        <w:rPr>
          <w:rStyle w:val="FootnoteReference"/>
          <w:rFonts w:ascii="Garamond" w:hAnsi="Garamond"/>
          <w:bCs/>
        </w:rPr>
        <w:footnoteReference w:id="11"/>
      </w:r>
      <w:r w:rsidR="004A13A6" w:rsidRPr="004A13A6">
        <w:rPr>
          <w:rFonts w:ascii="Garamond" w:hAnsi="Garamond"/>
          <w:bCs/>
        </w:rPr>
        <w:t xml:space="preserve"> </w:t>
      </w:r>
      <w:r w:rsidR="00FA71D1">
        <w:rPr>
          <w:rFonts w:ascii="Garamond" w:hAnsi="Garamond"/>
          <w:bCs/>
        </w:rPr>
        <w:t>According to</w:t>
      </w:r>
      <w:r w:rsidR="00FA71D1" w:rsidRPr="004A13A6">
        <w:rPr>
          <w:rFonts w:ascii="Garamond" w:hAnsi="Garamond"/>
          <w:bCs/>
        </w:rPr>
        <w:t xml:space="preserve"> USDA’s Economic Research Service</w:t>
      </w:r>
      <w:r w:rsidR="00630178">
        <w:rPr>
          <w:rFonts w:ascii="Garamond" w:hAnsi="Garamond"/>
          <w:bCs/>
        </w:rPr>
        <w:t>, w</w:t>
      </w:r>
      <w:r w:rsidR="002B5912">
        <w:rPr>
          <w:rFonts w:ascii="Garamond" w:hAnsi="Garamond"/>
          <w:bCs/>
        </w:rPr>
        <w:t xml:space="preserve">eb posting appears to have motivated poultry processors to lower </w:t>
      </w:r>
      <w:r w:rsidR="002B5912">
        <w:rPr>
          <w:rFonts w:ascii="Garamond" w:hAnsi="Garamond"/>
          <w:bCs/>
          <w:i/>
          <w:iCs/>
        </w:rPr>
        <w:t xml:space="preserve">Salmonella </w:t>
      </w:r>
      <w:r w:rsidR="002B5912">
        <w:rPr>
          <w:rFonts w:ascii="Garamond" w:hAnsi="Garamond"/>
          <w:bCs/>
        </w:rPr>
        <w:t>contamination rates.</w:t>
      </w:r>
      <w:r w:rsidR="002B5912">
        <w:rPr>
          <w:rStyle w:val="FootnoteReference"/>
          <w:rFonts w:ascii="Garamond" w:hAnsi="Garamond"/>
          <w:bCs/>
        </w:rPr>
        <w:footnoteReference w:id="12"/>
      </w:r>
      <w:r w:rsidR="00FA71D1">
        <w:rPr>
          <w:rFonts w:ascii="Garamond" w:hAnsi="Garamond"/>
          <w:bCs/>
        </w:rPr>
        <w:t xml:space="preserve"> And </w:t>
      </w:r>
      <w:r w:rsidR="00F81EF9">
        <w:rPr>
          <w:rFonts w:ascii="Garamond" w:hAnsi="Garamond"/>
          <w:bCs/>
        </w:rPr>
        <w:t xml:space="preserve">the </w:t>
      </w:r>
      <w:r w:rsidR="00FA71D1">
        <w:rPr>
          <w:rFonts w:ascii="Garamond" w:hAnsi="Garamond"/>
          <w:bCs/>
        </w:rPr>
        <w:t>proposed rule’s estimates of associated public health benefits is founded upon an assumption that web posting will take place. According to the risk assessment, “</w:t>
      </w:r>
      <w:r w:rsidR="00FA71D1" w:rsidRPr="00FA71D1">
        <w:rPr>
          <w:rFonts w:ascii="Garamond" w:hAnsi="Garamond"/>
          <w:bCs/>
        </w:rPr>
        <w:t>to</w:t>
      </w:r>
      <w:r w:rsidR="00FA71D1">
        <w:rPr>
          <w:rFonts w:ascii="Garamond" w:hAnsi="Garamond"/>
          <w:bCs/>
        </w:rPr>
        <w:t xml:space="preserve"> </w:t>
      </w:r>
      <w:r w:rsidR="00FA71D1" w:rsidRPr="00FA71D1">
        <w:rPr>
          <w:rFonts w:ascii="Garamond" w:hAnsi="Garamond"/>
          <w:bCs/>
        </w:rPr>
        <w:t>generate incentives for passing the standards, information about the classification of individual</w:t>
      </w:r>
      <w:r w:rsidR="00FA71D1">
        <w:rPr>
          <w:rFonts w:ascii="Garamond" w:hAnsi="Garamond"/>
          <w:bCs/>
        </w:rPr>
        <w:t xml:space="preserve"> </w:t>
      </w:r>
      <w:r w:rsidR="00FA71D1" w:rsidRPr="00FA71D1">
        <w:rPr>
          <w:rFonts w:ascii="Garamond" w:hAnsi="Garamond"/>
          <w:bCs/>
        </w:rPr>
        <w:t>establishments with respect to the performance standards must be available publicly.</w:t>
      </w:r>
      <w:r w:rsidR="00FA71D1">
        <w:rPr>
          <w:rFonts w:ascii="Garamond" w:hAnsi="Garamond"/>
          <w:bCs/>
        </w:rPr>
        <w:t>”</w:t>
      </w:r>
      <w:r w:rsidR="00073BFD">
        <w:rPr>
          <w:rStyle w:val="FootnoteReference"/>
          <w:rFonts w:ascii="Garamond" w:hAnsi="Garamond"/>
          <w:bCs/>
        </w:rPr>
        <w:footnoteReference w:id="13"/>
      </w:r>
      <w:r w:rsidR="00114544">
        <w:rPr>
          <w:rFonts w:ascii="Garamond" w:hAnsi="Garamond"/>
          <w:bCs/>
        </w:rPr>
        <w:t xml:space="preserve"> FSIS should therefore avoid delays in posting </w:t>
      </w:r>
      <w:r w:rsidR="00075EB3">
        <w:rPr>
          <w:rFonts w:ascii="Garamond" w:hAnsi="Garamond"/>
          <w:bCs/>
        </w:rPr>
        <w:t xml:space="preserve">establishments’ classifications. </w:t>
      </w:r>
    </w:p>
    <w:p w14:paraId="7CB9F482" w14:textId="77777777" w:rsidR="00F81EF9" w:rsidRDefault="00F81EF9" w:rsidP="001F7025">
      <w:pPr>
        <w:rPr>
          <w:rFonts w:ascii="Garamond" w:hAnsi="Garamond"/>
          <w:bCs/>
        </w:rPr>
      </w:pPr>
    </w:p>
    <w:p w14:paraId="31EF7B05" w14:textId="66AB863D" w:rsidR="00073BFD" w:rsidRDefault="00630178" w:rsidP="00F81EF9">
      <w:pPr>
        <w:ind w:firstLine="720"/>
        <w:rPr>
          <w:rFonts w:ascii="Garamond" w:hAnsi="Garamond"/>
          <w:bCs/>
        </w:rPr>
      </w:pPr>
      <w:r>
        <w:rPr>
          <w:rFonts w:ascii="Garamond" w:hAnsi="Garamond"/>
          <w:bCs/>
        </w:rPr>
        <w:t xml:space="preserve">FSIS should also continue to use compliance with the performance standards as a trigger for greater scrutiny of </w:t>
      </w:r>
      <w:r w:rsidR="00224956">
        <w:rPr>
          <w:rFonts w:ascii="Garamond" w:hAnsi="Garamond"/>
          <w:bCs/>
        </w:rPr>
        <w:t xml:space="preserve">the </w:t>
      </w:r>
      <w:r>
        <w:rPr>
          <w:rFonts w:ascii="Garamond" w:hAnsi="Garamond"/>
          <w:bCs/>
        </w:rPr>
        <w:t xml:space="preserve">establishment’s HACCP plans, follow-up sampling, and more rigorous inspection procedures such as Public Health Risk Evaluations. </w:t>
      </w:r>
      <w:r w:rsidR="001F7025">
        <w:rPr>
          <w:rFonts w:ascii="Garamond" w:hAnsi="Garamond"/>
          <w:bCs/>
        </w:rPr>
        <w:t>The experience with poultry processors</w:t>
      </w:r>
      <w:r w:rsidR="00075EB3">
        <w:rPr>
          <w:rFonts w:ascii="Garamond" w:hAnsi="Garamond"/>
          <w:bCs/>
        </w:rPr>
        <w:t>, however,</w:t>
      </w:r>
      <w:r w:rsidR="001F7025">
        <w:rPr>
          <w:rFonts w:ascii="Garamond" w:hAnsi="Garamond"/>
          <w:bCs/>
        </w:rPr>
        <w:t xml:space="preserve"> suggests that these incentives</w:t>
      </w:r>
      <w:r w:rsidR="00073BFD">
        <w:rPr>
          <w:rFonts w:ascii="Garamond" w:hAnsi="Garamond"/>
          <w:bCs/>
        </w:rPr>
        <w:t xml:space="preserve">, while important, will not be as important in motivating </w:t>
      </w:r>
      <w:r w:rsidR="001F7025">
        <w:rPr>
          <w:rFonts w:ascii="Garamond" w:hAnsi="Garamond"/>
          <w:bCs/>
        </w:rPr>
        <w:t>establishments to comply with the standards.</w:t>
      </w:r>
      <w:r w:rsidR="00F81EF9">
        <w:rPr>
          <w:rStyle w:val="FootnoteReference"/>
          <w:rFonts w:ascii="Garamond" w:hAnsi="Garamond"/>
          <w:bCs/>
        </w:rPr>
        <w:footnoteReference w:id="14"/>
      </w:r>
      <w:r w:rsidR="001F7025">
        <w:rPr>
          <w:rFonts w:ascii="Garamond" w:hAnsi="Garamond"/>
          <w:bCs/>
        </w:rPr>
        <w:t xml:space="preserve"> </w:t>
      </w:r>
    </w:p>
    <w:p w14:paraId="29EDB118" w14:textId="55A52A23" w:rsidR="00617332" w:rsidRDefault="00617332" w:rsidP="00F81EF9">
      <w:pPr>
        <w:ind w:firstLine="720"/>
        <w:rPr>
          <w:rFonts w:ascii="Garamond" w:hAnsi="Garamond"/>
          <w:bCs/>
        </w:rPr>
      </w:pPr>
    </w:p>
    <w:p w14:paraId="3C4E686B" w14:textId="63F317D0" w:rsidR="00617332" w:rsidRDefault="00617332" w:rsidP="00F81EF9">
      <w:pPr>
        <w:ind w:firstLine="720"/>
        <w:rPr>
          <w:rFonts w:ascii="Garamond" w:hAnsi="Garamond"/>
          <w:bCs/>
        </w:rPr>
      </w:pPr>
      <w:r>
        <w:rPr>
          <w:rFonts w:ascii="Garamond" w:hAnsi="Garamond"/>
          <w:bCs/>
        </w:rPr>
        <w:t>Even without universal compliance, the proposed performance standards</w:t>
      </w:r>
      <w:r w:rsidR="00E27B68">
        <w:rPr>
          <w:rFonts w:ascii="Garamond" w:hAnsi="Garamond"/>
          <w:bCs/>
        </w:rPr>
        <w:t xml:space="preserve"> will significantly improve public health. According to the FSIS risk assessment, if just “45 percent of </w:t>
      </w:r>
      <w:r w:rsidR="00E27B68" w:rsidRPr="00E27B68">
        <w:rPr>
          <w:rFonts w:ascii="Garamond" w:hAnsi="Garamond"/>
          <w:bCs/>
        </w:rPr>
        <w:t>establishments that do not initially meet the standards,</w:t>
      </w:r>
      <w:r w:rsidR="00E27B68">
        <w:rPr>
          <w:rFonts w:ascii="Garamond" w:hAnsi="Garamond"/>
          <w:bCs/>
        </w:rPr>
        <w:t xml:space="preserve">” come out of “category 3” within </w:t>
      </w:r>
      <w:r w:rsidR="00E27B68" w:rsidRPr="00E27B68">
        <w:rPr>
          <w:rFonts w:ascii="Garamond" w:hAnsi="Garamond"/>
          <w:bCs/>
        </w:rPr>
        <w:t>two years</w:t>
      </w:r>
      <w:r w:rsidR="00E27B68">
        <w:rPr>
          <w:rFonts w:ascii="Garamond" w:hAnsi="Garamond"/>
          <w:bCs/>
        </w:rPr>
        <w:t xml:space="preserve">, the new standards </w:t>
      </w:r>
      <w:r>
        <w:rPr>
          <w:rFonts w:ascii="Garamond" w:hAnsi="Garamond"/>
          <w:bCs/>
        </w:rPr>
        <w:t xml:space="preserve">will </w:t>
      </w:r>
      <w:r w:rsidR="00E27B68">
        <w:rPr>
          <w:rFonts w:ascii="Garamond" w:hAnsi="Garamond"/>
          <w:bCs/>
        </w:rPr>
        <w:t xml:space="preserve">help to avert thousands of </w:t>
      </w:r>
      <w:r w:rsidR="00E27B68">
        <w:rPr>
          <w:rFonts w:ascii="Garamond" w:hAnsi="Garamond"/>
          <w:bCs/>
          <w:i/>
          <w:iCs/>
        </w:rPr>
        <w:t xml:space="preserve">Salmonella </w:t>
      </w:r>
      <w:r w:rsidR="00E27B68">
        <w:rPr>
          <w:rFonts w:ascii="Garamond" w:hAnsi="Garamond"/>
          <w:bCs/>
        </w:rPr>
        <w:t xml:space="preserve">infection cases, worth an estimated $107.94 million. These estimates are fraught with uncertainty and, as discussed below, </w:t>
      </w:r>
      <w:r w:rsidR="00EE4FE8">
        <w:rPr>
          <w:rFonts w:ascii="Garamond" w:hAnsi="Garamond"/>
          <w:bCs/>
        </w:rPr>
        <w:t xml:space="preserve">more targeted standards could serve to better protect consumers. However, in the absence of any microbiological criteria, the proposed standards are a welcome step in the right direction. </w:t>
      </w:r>
    </w:p>
    <w:p w14:paraId="1647887C" w14:textId="77777777" w:rsidR="00E27B68" w:rsidRDefault="00E27B68" w:rsidP="00F81EF9">
      <w:pPr>
        <w:ind w:firstLine="720"/>
        <w:rPr>
          <w:rFonts w:ascii="Garamond" w:hAnsi="Garamond"/>
          <w:bCs/>
        </w:rPr>
      </w:pPr>
    </w:p>
    <w:p w14:paraId="67E7ABC8" w14:textId="26A9A182" w:rsidR="00073BFD" w:rsidRDefault="001F7025" w:rsidP="001F7025">
      <w:pPr>
        <w:rPr>
          <w:rFonts w:ascii="Garamond" w:hAnsi="Garamond"/>
          <w:bCs/>
        </w:rPr>
      </w:pPr>
      <w:r>
        <w:rPr>
          <w:rFonts w:ascii="Garamond" w:hAnsi="Garamond"/>
          <w:bCs/>
        </w:rPr>
        <w:tab/>
      </w:r>
      <w:r w:rsidR="0025069C">
        <w:rPr>
          <w:rFonts w:ascii="Garamond" w:hAnsi="Garamond"/>
          <w:bCs/>
          <w:u w:val="single"/>
        </w:rPr>
        <w:t>FSIS should</w:t>
      </w:r>
      <w:r w:rsidR="00073BFD">
        <w:rPr>
          <w:rFonts w:ascii="Garamond" w:hAnsi="Garamond"/>
          <w:bCs/>
          <w:u w:val="single"/>
        </w:rPr>
        <w:t xml:space="preserve"> develop enforceable product standards to build on the proposed performance st</w:t>
      </w:r>
      <w:r w:rsidR="00EE4FE8">
        <w:rPr>
          <w:rFonts w:ascii="Garamond" w:hAnsi="Garamond"/>
          <w:bCs/>
          <w:u w:val="single"/>
        </w:rPr>
        <w:t>a</w:t>
      </w:r>
      <w:r w:rsidR="00073BFD">
        <w:rPr>
          <w:rFonts w:ascii="Garamond" w:hAnsi="Garamond"/>
          <w:bCs/>
          <w:u w:val="single"/>
        </w:rPr>
        <w:t xml:space="preserve">ndards. </w:t>
      </w:r>
    </w:p>
    <w:p w14:paraId="18204512" w14:textId="77777777" w:rsidR="00073BFD" w:rsidRDefault="00073BFD" w:rsidP="001F7025">
      <w:pPr>
        <w:rPr>
          <w:rFonts w:ascii="Garamond" w:hAnsi="Garamond"/>
          <w:bCs/>
        </w:rPr>
      </w:pPr>
    </w:p>
    <w:p w14:paraId="3BFAE616" w14:textId="2FC48EC8" w:rsidR="0016447E" w:rsidRDefault="00EE4FE8" w:rsidP="0016447E">
      <w:pPr>
        <w:ind w:firstLine="720"/>
        <w:rPr>
          <w:rFonts w:ascii="Garamond" w:hAnsi="Garamond"/>
          <w:bCs/>
        </w:rPr>
      </w:pPr>
      <w:r>
        <w:rPr>
          <w:rFonts w:ascii="Garamond" w:hAnsi="Garamond"/>
          <w:bCs/>
        </w:rPr>
        <w:t xml:space="preserve">The proposed </w:t>
      </w:r>
      <w:r>
        <w:rPr>
          <w:rFonts w:ascii="Garamond" w:hAnsi="Garamond"/>
          <w:bCs/>
          <w:i/>
          <w:iCs/>
        </w:rPr>
        <w:t xml:space="preserve">Salmonella </w:t>
      </w:r>
      <w:r>
        <w:rPr>
          <w:rFonts w:ascii="Garamond" w:hAnsi="Garamond"/>
          <w:bCs/>
        </w:rPr>
        <w:t xml:space="preserve">performance standards for ground pork and pork parts resemble </w:t>
      </w:r>
      <w:r>
        <w:rPr>
          <w:rFonts w:ascii="Garamond" w:hAnsi="Garamond"/>
          <w:bCs/>
          <w:i/>
          <w:iCs/>
        </w:rPr>
        <w:t xml:space="preserve">Salmonella </w:t>
      </w:r>
      <w:r>
        <w:rPr>
          <w:rFonts w:ascii="Garamond" w:hAnsi="Garamond"/>
          <w:bCs/>
        </w:rPr>
        <w:t xml:space="preserve">performance standards that FSIS has recently put in place for ground poultry and poultry parts and </w:t>
      </w:r>
      <w:r w:rsidR="00075EB3">
        <w:rPr>
          <w:rFonts w:ascii="Garamond" w:hAnsi="Garamond"/>
          <w:bCs/>
        </w:rPr>
        <w:t xml:space="preserve">standards that the agency has </w:t>
      </w:r>
      <w:r>
        <w:rPr>
          <w:rFonts w:ascii="Garamond" w:hAnsi="Garamond"/>
          <w:bCs/>
        </w:rPr>
        <w:t xml:space="preserve">proposed for beef products. </w:t>
      </w:r>
      <w:r w:rsidR="0016447E">
        <w:rPr>
          <w:rFonts w:ascii="Garamond" w:hAnsi="Garamond"/>
          <w:bCs/>
        </w:rPr>
        <w:t xml:space="preserve">These performance standards suffer two weaknesses. First, they are not enforceable. </w:t>
      </w:r>
      <w:r w:rsidR="0016447E" w:rsidRPr="0016447E">
        <w:rPr>
          <w:rFonts w:ascii="Garamond" w:hAnsi="Garamond"/>
          <w:bCs/>
        </w:rPr>
        <w:t xml:space="preserve">According to the Fifth Circuit Court of Appeal’s decision in </w:t>
      </w:r>
      <w:r w:rsidR="0016447E" w:rsidRPr="0016447E">
        <w:rPr>
          <w:rFonts w:ascii="Garamond" w:hAnsi="Garamond"/>
          <w:bCs/>
          <w:i/>
          <w:iCs/>
        </w:rPr>
        <w:t>Supreme Beef v. USDA</w:t>
      </w:r>
      <w:r w:rsidR="0016447E" w:rsidRPr="0016447E">
        <w:rPr>
          <w:rFonts w:ascii="Garamond" w:hAnsi="Garamond"/>
          <w:bCs/>
        </w:rPr>
        <w:t>, FSIS cannot</w:t>
      </w:r>
      <w:r w:rsidR="0016447E">
        <w:rPr>
          <w:rFonts w:ascii="Garamond" w:hAnsi="Garamond"/>
          <w:bCs/>
        </w:rPr>
        <w:t xml:space="preserve"> </w:t>
      </w:r>
      <w:r w:rsidR="0016447E" w:rsidRPr="0016447E">
        <w:rPr>
          <w:rFonts w:ascii="Garamond" w:hAnsi="Garamond"/>
          <w:bCs/>
        </w:rPr>
        <w:t xml:space="preserve">withdraw inspectors </w:t>
      </w:r>
      <w:r w:rsidR="0016447E">
        <w:rPr>
          <w:rFonts w:ascii="Garamond" w:hAnsi="Garamond"/>
          <w:bCs/>
        </w:rPr>
        <w:t>from an establishment</w:t>
      </w:r>
      <w:r w:rsidR="0016447E" w:rsidRPr="0016447E">
        <w:rPr>
          <w:rFonts w:ascii="Garamond" w:hAnsi="Garamond"/>
          <w:bCs/>
        </w:rPr>
        <w:t xml:space="preserve"> solely because </w:t>
      </w:r>
      <w:r w:rsidR="00075EB3">
        <w:rPr>
          <w:rFonts w:ascii="Garamond" w:hAnsi="Garamond"/>
          <w:bCs/>
        </w:rPr>
        <w:t>the establishment</w:t>
      </w:r>
      <w:r w:rsidR="0016447E" w:rsidRPr="0016447E">
        <w:rPr>
          <w:rFonts w:ascii="Garamond" w:hAnsi="Garamond"/>
          <w:bCs/>
        </w:rPr>
        <w:t xml:space="preserve"> fails to meet performance</w:t>
      </w:r>
      <w:r w:rsidR="0016447E">
        <w:rPr>
          <w:rFonts w:ascii="Garamond" w:hAnsi="Garamond"/>
          <w:bCs/>
        </w:rPr>
        <w:t xml:space="preserve"> </w:t>
      </w:r>
      <w:r w:rsidR="0016447E" w:rsidRPr="0016447E">
        <w:rPr>
          <w:rFonts w:ascii="Garamond" w:hAnsi="Garamond"/>
          <w:bCs/>
        </w:rPr>
        <w:t>standards for a pathogen, so long as FSIS does not consider that pathogen to be an adulterant.</w:t>
      </w:r>
      <w:r w:rsidR="0016447E">
        <w:rPr>
          <w:rFonts w:ascii="Garamond" w:hAnsi="Garamond"/>
          <w:bCs/>
        </w:rPr>
        <w:t xml:space="preserve"> Second, they </w:t>
      </w:r>
      <w:r w:rsidR="00BA4D47">
        <w:rPr>
          <w:rFonts w:ascii="Garamond" w:hAnsi="Garamond"/>
          <w:bCs/>
        </w:rPr>
        <w:t>are</w:t>
      </w:r>
      <w:r w:rsidR="00F95FFD">
        <w:rPr>
          <w:rFonts w:ascii="Garamond" w:hAnsi="Garamond"/>
          <w:bCs/>
        </w:rPr>
        <w:t xml:space="preserve"> less protective to consumers and </w:t>
      </w:r>
      <w:r w:rsidR="0001743C">
        <w:rPr>
          <w:rFonts w:ascii="Garamond" w:hAnsi="Garamond"/>
          <w:bCs/>
        </w:rPr>
        <w:t>unnecessarily</w:t>
      </w:r>
      <w:r w:rsidR="00F95FFD">
        <w:rPr>
          <w:rFonts w:ascii="Garamond" w:hAnsi="Garamond"/>
          <w:bCs/>
        </w:rPr>
        <w:t xml:space="preserve"> burdensome to industry, compared to microbiological standards</w:t>
      </w:r>
      <w:r w:rsidR="00B9647B">
        <w:rPr>
          <w:rFonts w:ascii="Garamond" w:hAnsi="Garamond"/>
          <w:bCs/>
        </w:rPr>
        <w:t xml:space="preserve"> that apply to products rather than an establishment’s performance</w:t>
      </w:r>
      <w:r w:rsidR="00F95FFD">
        <w:rPr>
          <w:rFonts w:ascii="Garamond" w:hAnsi="Garamond"/>
          <w:bCs/>
        </w:rPr>
        <w:t>.</w:t>
      </w:r>
    </w:p>
    <w:p w14:paraId="169E625A" w14:textId="356965A0" w:rsidR="00F95FFD" w:rsidRDefault="00F95FFD" w:rsidP="0016447E">
      <w:pPr>
        <w:ind w:firstLine="720"/>
        <w:rPr>
          <w:rFonts w:ascii="Garamond" w:hAnsi="Garamond"/>
          <w:bCs/>
        </w:rPr>
      </w:pPr>
    </w:p>
    <w:p w14:paraId="3D9044B6" w14:textId="39FCA5BE" w:rsidR="00BB2D99" w:rsidRDefault="00C3661D" w:rsidP="000220E5">
      <w:pPr>
        <w:ind w:firstLine="720"/>
        <w:rPr>
          <w:rFonts w:ascii="Garamond" w:hAnsi="Garamond"/>
          <w:bCs/>
        </w:rPr>
      </w:pPr>
      <w:r>
        <w:rPr>
          <w:rFonts w:ascii="Garamond" w:hAnsi="Garamond"/>
          <w:bCs/>
        </w:rPr>
        <w:t xml:space="preserve">Product standards that prevent companies from selling pork contaminated with dangerous </w:t>
      </w:r>
      <w:r>
        <w:rPr>
          <w:rFonts w:ascii="Garamond" w:hAnsi="Garamond"/>
          <w:bCs/>
          <w:i/>
          <w:iCs/>
        </w:rPr>
        <w:t>Salmonella</w:t>
      </w:r>
      <w:r>
        <w:rPr>
          <w:rFonts w:ascii="Garamond" w:hAnsi="Garamond"/>
          <w:bCs/>
        </w:rPr>
        <w:t xml:space="preserve"> would be enforceable, and could better protect consumers than the proposed performance standards. First, w</w:t>
      </w:r>
      <w:r w:rsidR="00F95FFD">
        <w:rPr>
          <w:rFonts w:ascii="Garamond" w:hAnsi="Garamond"/>
          <w:bCs/>
        </w:rPr>
        <w:t xml:space="preserve">hile </w:t>
      </w:r>
      <w:r w:rsidR="00507132">
        <w:rPr>
          <w:rFonts w:ascii="Garamond" w:hAnsi="Garamond"/>
          <w:bCs/>
        </w:rPr>
        <w:t>FSIS may lack the legal authority to enforce</w:t>
      </w:r>
      <w:r w:rsidR="00F95FFD">
        <w:rPr>
          <w:rFonts w:ascii="Garamond" w:hAnsi="Garamond"/>
          <w:bCs/>
        </w:rPr>
        <w:t xml:space="preserve"> performance standard</w:t>
      </w:r>
      <w:r w:rsidR="00B9647B">
        <w:rPr>
          <w:rFonts w:ascii="Garamond" w:hAnsi="Garamond"/>
          <w:bCs/>
        </w:rPr>
        <w:t>s</w:t>
      </w:r>
      <w:r w:rsidR="00F95FFD">
        <w:rPr>
          <w:rFonts w:ascii="Garamond" w:hAnsi="Garamond"/>
          <w:bCs/>
        </w:rPr>
        <w:t xml:space="preserve"> </w:t>
      </w:r>
      <w:r w:rsidR="00507132">
        <w:rPr>
          <w:rFonts w:ascii="Garamond" w:hAnsi="Garamond"/>
          <w:bCs/>
        </w:rPr>
        <w:t xml:space="preserve">that </w:t>
      </w:r>
      <w:r w:rsidR="00F95FFD">
        <w:rPr>
          <w:rFonts w:ascii="Garamond" w:hAnsi="Garamond"/>
          <w:bCs/>
        </w:rPr>
        <w:t>measure an establishment’s</w:t>
      </w:r>
      <w:r w:rsidR="00507132">
        <w:rPr>
          <w:rFonts w:ascii="Garamond" w:hAnsi="Garamond"/>
          <w:bCs/>
        </w:rPr>
        <w:t xml:space="preserve"> capacity to minimize the frequency of </w:t>
      </w:r>
      <w:r w:rsidR="00507132">
        <w:rPr>
          <w:rFonts w:ascii="Garamond" w:hAnsi="Garamond"/>
          <w:bCs/>
          <w:i/>
          <w:iCs/>
        </w:rPr>
        <w:t xml:space="preserve">Salmonella </w:t>
      </w:r>
      <w:r w:rsidR="00507132">
        <w:rPr>
          <w:rFonts w:ascii="Garamond" w:hAnsi="Garamond"/>
          <w:bCs/>
        </w:rPr>
        <w:t>contamination</w:t>
      </w:r>
      <w:r w:rsidR="00F95FFD">
        <w:rPr>
          <w:rFonts w:ascii="Garamond" w:hAnsi="Garamond"/>
          <w:bCs/>
        </w:rPr>
        <w:t>,</w:t>
      </w:r>
      <w:r w:rsidR="00507132">
        <w:rPr>
          <w:rFonts w:ascii="Garamond" w:hAnsi="Garamond"/>
          <w:bCs/>
        </w:rPr>
        <w:t xml:space="preserve"> no serious question applies to whether it can enforce </w:t>
      </w:r>
      <w:r w:rsidR="00F95FFD">
        <w:rPr>
          <w:rFonts w:ascii="Garamond" w:hAnsi="Garamond"/>
          <w:bCs/>
        </w:rPr>
        <w:t xml:space="preserve">a product standard </w:t>
      </w:r>
      <w:r w:rsidR="00507132">
        <w:rPr>
          <w:rFonts w:ascii="Garamond" w:hAnsi="Garamond"/>
          <w:bCs/>
        </w:rPr>
        <w:t xml:space="preserve">that </w:t>
      </w:r>
      <w:r w:rsidR="00F95FFD">
        <w:rPr>
          <w:rFonts w:ascii="Garamond" w:hAnsi="Garamond"/>
          <w:bCs/>
        </w:rPr>
        <w:t>measure</w:t>
      </w:r>
      <w:r w:rsidR="00507132">
        <w:rPr>
          <w:rFonts w:ascii="Garamond" w:hAnsi="Garamond"/>
          <w:bCs/>
        </w:rPr>
        <w:t>s</w:t>
      </w:r>
      <w:r w:rsidR="00F95FFD">
        <w:rPr>
          <w:rFonts w:ascii="Garamond" w:hAnsi="Garamond"/>
          <w:bCs/>
        </w:rPr>
        <w:t xml:space="preserve"> </w:t>
      </w:r>
      <w:r w:rsidR="00507132">
        <w:rPr>
          <w:rFonts w:ascii="Garamond" w:hAnsi="Garamond"/>
          <w:bCs/>
        </w:rPr>
        <w:t>whether a product is adulterated</w:t>
      </w:r>
      <w:r w:rsidR="006355A2">
        <w:rPr>
          <w:rFonts w:ascii="Garamond" w:hAnsi="Garamond"/>
          <w:bCs/>
        </w:rPr>
        <w:t>. Indeed, the agency takes just this approach in banning the sale of</w:t>
      </w:r>
      <w:r w:rsidR="00507132">
        <w:rPr>
          <w:rFonts w:ascii="Garamond" w:hAnsi="Garamond"/>
          <w:bCs/>
        </w:rPr>
        <w:t xml:space="preserve"> ground beef contaminated with </w:t>
      </w:r>
      <w:proofErr w:type="spellStart"/>
      <w:r w:rsidR="00507132">
        <w:rPr>
          <w:rFonts w:ascii="Garamond" w:hAnsi="Garamond"/>
          <w:bCs/>
        </w:rPr>
        <w:t>shiga</w:t>
      </w:r>
      <w:proofErr w:type="spellEnd"/>
      <w:r w:rsidR="00507132">
        <w:rPr>
          <w:rFonts w:ascii="Garamond" w:hAnsi="Garamond"/>
          <w:bCs/>
        </w:rPr>
        <w:t xml:space="preserve"> toxin producing </w:t>
      </w:r>
      <w:r w:rsidR="00507132">
        <w:rPr>
          <w:rFonts w:ascii="Garamond" w:hAnsi="Garamond"/>
          <w:bCs/>
          <w:i/>
          <w:iCs/>
        </w:rPr>
        <w:t>E.coli</w:t>
      </w:r>
      <w:r w:rsidR="00507132">
        <w:rPr>
          <w:rFonts w:ascii="Garamond" w:hAnsi="Garamond"/>
          <w:bCs/>
        </w:rPr>
        <w:t xml:space="preserve"> (STEC)</w:t>
      </w:r>
      <w:r w:rsidR="000220E5">
        <w:rPr>
          <w:rFonts w:ascii="Garamond" w:hAnsi="Garamond"/>
          <w:bCs/>
        </w:rPr>
        <w:t xml:space="preserve">. </w:t>
      </w:r>
      <w:r w:rsidR="00507132">
        <w:rPr>
          <w:rFonts w:ascii="Garamond" w:hAnsi="Garamond"/>
          <w:bCs/>
        </w:rPr>
        <w:t xml:space="preserve">While </w:t>
      </w:r>
      <w:r w:rsidR="00507132">
        <w:rPr>
          <w:rFonts w:ascii="Garamond" w:hAnsi="Garamond"/>
          <w:bCs/>
          <w:i/>
          <w:iCs/>
        </w:rPr>
        <w:t xml:space="preserve">Salmonella </w:t>
      </w:r>
      <w:r w:rsidR="00507132">
        <w:rPr>
          <w:rFonts w:ascii="Garamond" w:hAnsi="Garamond"/>
          <w:bCs/>
        </w:rPr>
        <w:t xml:space="preserve">in pork is more ubiquitous than STECs in beef, </w:t>
      </w:r>
      <w:r w:rsidR="00BA4D47">
        <w:rPr>
          <w:rFonts w:ascii="Garamond" w:hAnsi="Garamond"/>
          <w:bCs/>
        </w:rPr>
        <w:t xml:space="preserve">FSIS </w:t>
      </w:r>
      <w:r w:rsidR="003C4987">
        <w:rPr>
          <w:rFonts w:ascii="Garamond" w:hAnsi="Garamond"/>
          <w:bCs/>
        </w:rPr>
        <w:t xml:space="preserve">need not apply a </w:t>
      </w:r>
      <w:r w:rsidR="008965EE">
        <w:rPr>
          <w:rFonts w:ascii="Garamond" w:hAnsi="Garamond"/>
          <w:bCs/>
        </w:rPr>
        <w:t>zero-tolerance</w:t>
      </w:r>
      <w:r w:rsidR="003C4987">
        <w:rPr>
          <w:rFonts w:ascii="Garamond" w:hAnsi="Garamond"/>
          <w:bCs/>
        </w:rPr>
        <w:t xml:space="preserve"> standard for all </w:t>
      </w:r>
      <w:r w:rsidR="003C4987" w:rsidRPr="003C4987">
        <w:rPr>
          <w:rFonts w:ascii="Garamond" w:hAnsi="Garamond"/>
          <w:bCs/>
          <w:i/>
          <w:iCs/>
        </w:rPr>
        <w:t>Salmonella</w:t>
      </w:r>
      <w:r w:rsidR="003C4987">
        <w:rPr>
          <w:rFonts w:ascii="Garamond" w:hAnsi="Garamond"/>
          <w:bCs/>
        </w:rPr>
        <w:t xml:space="preserve">. Rather, it can target </w:t>
      </w:r>
      <w:r w:rsidR="00BA4D47" w:rsidRPr="003C4987">
        <w:rPr>
          <w:rFonts w:ascii="Garamond" w:hAnsi="Garamond"/>
          <w:bCs/>
        </w:rPr>
        <w:t>specific</w:t>
      </w:r>
      <w:r w:rsidR="00BA4D47">
        <w:rPr>
          <w:rFonts w:ascii="Garamond" w:hAnsi="Garamond"/>
          <w:bCs/>
        </w:rPr>
        <w:t xml:space="preserve"> </w:t>
      </w:r>
      <w:r w:rsidR="00BB2D99">
        <w:rPr>
          <w:rFonts w:ascii="Garamond" w:hAnsi="Garamond"/>
          <w:bCs/>
        </w:rPr>
        <w:t>serovars</w:t>
      </w:r>
      <w:r w:rsidR="003C4987">
        <w:rPr>
          <w:rFonts w:ascii="Garamond" w:hAnsi="Garamond"/>
          <w:bCs/>
        </w:rPr>
        <w:t xml:space="preserve"> such as</w:t>
      </w:r>
      <w:r w:rsidR="00BA4D47">
        <w:rPr>
          <w:rFonts w:ascii="Garamond" w:hAnsi="Garamond"/>
          <w:bCs/>
        </w:rPr>
        <w:t xml:space="preserve"> </w:t>
      </w:r>
      <w:r w:rsidR="00507132">
        <w:rPr>
          <w:rFonts w:ascii="Garamond" w:hAnsi="Garamond"/>
          <w:bCs/>
          <w:i/>
          <w:iCs/>
        </w:rPr>
        <w:t xml:space="preserve">Salmonella </w:t>
      </w:r>
      <w:r w:rsidR="003C4987">
        <w:rPr>
          <w:rFonts w:ascii="Garamond" w:hAnsi="Garamond"/>
          <w:bCs/>
        </w:rPr>
        <w:t>Typhimurium</w:t>
      </w:r>
      <w:r w:rsidR="0001743C">
        <w:rPr>
          <w:rFonts w:ascii="Garamond" w:hAnsi="Garamond"/>
          <w:bCs/>
        </w:rPr>
        <w:t>,</w:t>
      </w:r>
      <w:r w:rsidR="006D66D3">
        <w:rPr>
          <w:rFonts w:ascii="Garamond" w:hAnsi="Garamond"/>
          <w:bCs/>
        </w:rPr>
        <w:t xml:space="preserve"> which</w:t>
      </w:r>
      <w:r w:rsidR="003C4987">
        <w:rPr>
          <w:rFonts w:ascii="Garamond" w:hAnsi="Garamond"/>
          <w:bCs/>
        </w:rPr>
        <w:t xml:space="preserve"> represent a particular burden to public health. </w:t>
      </w:r>
      <w:r w:rsidR="00BB2D99">
        <w:rPr>
          <w:rFonts w:ascii="Garamond" w:hAnsi="Garamond"/>
          <w:bCs/>
          <w:i/>
          <w:iCs/>
        </w:rPr>
        <w:t xml:space="preserve">S. </w:t>
      </w:r>
      <w:r w:rsidR="00BB2D99">
        <w:rPr>
          <w:rFonts w:ascii="Garamond" w:hAnsi="Garamond"/>
          <w:bCs/>
        </w:rPr>
        <w:t>Typhimurium is known to be transmitted through pork and it is the second most common serovar isolated from case patients in the United States.</w:t>
      </w:r>
      <w:r w:rsidR="00BB2D99">
        <w:rPr>
          <w:rStyle w:val="FootnoteReference"/>
          <w:rFonts w:ascii="Garamond" w:hAnsi="Garamond"/>
          <w:bCs/>
        </w:rPr>
        <w:footnoteReference w:id="15"/>
      </w:r>
      <w:r w:rsidR="00BB2D99">
        <w:rPr>
          <w:rFonts w:ascii="Garamond" w:hAnsi="Garamond"/>
          <w:bCs/>
        </w:rPr>
        <w:t xml:space="preserve"> Fortunately, hog farmers </w:t>
      </w:r>
      <w:r w:rsidR="00013B47">
        <w:rPr>
          <w:rFonts w:ascii="Garamond" w:hAnsi="Garamond"/>
          <w:bCs/>
        </w:rPr>
        <w:t xml:space="preserve">currently have access to a vaccine against </w:t>
      </w:r>
      <w:r w:rsidR="00013B47">
        <w:rPr>
          <w:rFonts w:ascii="Garamond" w:hAnsi="Garamond"/>
          <w:bCs/>
          <w:i/>
          <w:iCs/>
        </w:rPr>
        <w:t xml:space="preserve">S. </w:t>
      </w:r>
      <w:r w:rsidR="00013B47">
        <w:rPr>
          <w:rFonts w:ascii="Garamond" w:hAnsi="Garamond"/>
          <w:bCs/>
        </w:rPr>
        <w:t>Typhimurium, administered “in a single oral dose.”</w:t>
      </w:r>
      <w:r w:rsidR="00013B47">
        <w:rPr>
          <w:rStyle w:val="FootnoteReference"/>
          <w:rFonts w:ascii="Garamond" w:hAnsi="Garamond"/>
          <w:bCs/>
        </w:rPr>
        <w:footnoteReference w:id="16"/>
      </w:r>
      <w:r w:rsidR="00013B47">
        <w:rPr>
          <w:rFonts w:ascii="Garamond" w:hAnsi="Garamond"/>
          <w:bCs/>
        </w:rPr>
        <w:t xml:space="preserve"> </w:t>
      </w:r>
      <w:r w:rsidR="00FA5CE2">
        <w:rPr>
          <w:rFonts w:ascii="Garamond" w:hAnsi="Garamond"/>
          <w:bCs/>
        </w:rPr>
        <w:t xml:space="preserve">However, under the current rules, hog farmers have little incentive to vaccinate pigs </w:t>
      </w:r>
      <w:r w:rsidR="00FA5CE2">
        <w:rPr>
          <w:rFonts w:ascii="Garamond" w:hAnsi="Garamond"/>
          <w:bCs/>
        </w:rPr>
        <w:lastRenderedPageBreak/>
        <w:t xml:space="preserve">against </w:t>
      </w:r>
      <w:r w:rsidR="00FA5CE2">
        <w:rPr>
          <w:rFonts w:ascii="Garamond" w:hAnsi="Garamond"/>
          <w:bCs/>
          <w:i/>
          <w:iCs/>
        </w:rPr>
        <w:t xml:space="preserve">S. </w:t>
      </w:r>
      <w:r w:rsidR="00FA5CE2">
        <w:rPr>
          <w:rFonts w:ascii="Garamond" w:hAnsi="Garamond"/>
          <w:bCs/>
        </w:rPr>
        <w:t>Typhimurium, as the bacteria causes less harm to the pigs than other serovars</w:t>
      </w:r>
      <w:r w:rsidR="0001743C">
        <w:rPr>
          <w:rFonts w:ascii="Garamond" w:hAnsi="Garamond"/>
          <w:bCs/>
        </w:rPr>
        <w:t>,</w:t>
      </w:r>
      <w:r w:rsidR="00FA5CE2">
        <w:rPr>
          <w:rFonts w:ascii="Garamond" w:hAnsi="Garamond"/>
          <w:bCs/>
        </w:rPr>
        <w:t xml:space="preserve"> such as </w:t>
      </w:r>
      <w:r w:rsidR="00FA5CE2">
        <w:rPr>
          <w:rFonts w:ascii="Garamond" w:hAnsi="Garamond"/>
          <w:bCs/>
          <w:i/>
          <w:iCs/>
        </w:rPr>
        <w:t xml:space="preserve">S. </w:t>
      </w:r>
      <w:proofErr w:type="spellStart"/>
      <w:r w:rsidR="00FA5CE2">
        <w:rPr>
          <w:rFonts w:ascii="Garamond" w:hAnsi="Garamond"/>
          <w:bCs/>
        </w:rPr>
        <w:t>Choleraesuis</w:t>
      </w:r>
      <w:proofErr w:type="spellEnd"/>
      <w:r w:rsidR="0001743C">
        <w:rPr>
          <w:rFonts w:ascii="Garamond" w:hAnsi="Garamond"/>
          <w:bCs/>
        </w:rPr>
        <w:t>,</w:t>
      </w:r>
      <w:r w:rsidR="00FA5CE2">
        <w:rPr>
          <w:rFonts w:ascii="Garamond" w:hAnsi="Garamond"/>
          <w:bCs/>
        </w:rPr>
        <w:t xml:space="preserve"> which are less frequently implicated in human illness. </w:t>
      </w:r>
      <w:r w:rsidR="00013B47">
        <w:rPr>
          <w:rFonts w:ascii="Garamond" w:hAnsi="Garamond"/>
          <w:bCs/>
        </w:rPr>
        <w:t xml:space="preserve">Were FSIS to consider pork contaminated with </w:t>
      </w:r>
      <w:r w:rsidR="00013B47">
        <w:rPr>
          <w:rFonts w:ascii="Garamond" w:hAnsi="Garamond"/>
          <w:bCs/>
          <w:i/>
          <w:iCs/>
        </w:rPr>
        <w:t xml:space="preserve">S. </w:t>
      </w:r>
      <w:r w:rsidR="00013B47">
        <w:rPr>
          <w:rFonts w:ascii="Garamond" w:hAnsi="Garamond"/>
          <w:bCs/>
        </w:rPr>
        <w:t xml:space="preserve">Typhimurium to be adulterated, </w:t>
      </w:r>
      <w:r w:rsidR="00FA5CE2">
        <w:rPr>
          <w:rFonts w:ascii="Garamond" w:hAnsi="Garamond"/>
          <w:bCs/>
        </w:rPr>
        <w:t xml:space="preserve">the new rule would help to facilitate wider adoption of such life-saving technologies. </w:t>
      </w:r>
    </w:p>
    <w:p w14:paraId="639D8002" w14:textId="66944653" w:rsidR="00FA5CE2" w:rsidRDefault="00FA5CE2" w:rsidP="0016447E">
      <w:pPr>
        <w:ind w:firstLine="720"/>
        <w:rPr>
          <w:rFonts w:ascii="Garamond" w:hAnsi="Garamond"/>
          <w:bCs/>
        </w:rPr>
      </w:pPr>
    </w:p>
    <w:p w14:paraId="4B5ABD06" w14:textId="0FF974A9" w:rsidR="000822A2" w:rsidRDefault="00FA5CE2" w:rsidP="0016447E">
      <w:pPr>
        <w:ind w:firstLine="720"/>
        <w:rPr>
          <w:rFonts w:ascii="Garamond" w:hAnsi="Garamond"/>
          <w:bCs/>
        </w:rPr>
      </w:pPr>
      <w:r>
        <w:rPr>
          <w:rFonts w:ascii="Garamond" w:hAnsi="Garamond"/>
          <w:bCs/>
        </w:rPr>
        <w:t xml:space="preserve">As an initial step, FSIS might define </w:t>
      </w:r>
      <w:r w:rsidR="007626D4">
        <w:rPr>
          <w:rFonts w:ascii="Garamond" w:hAnsi="Garamond"/>
          <w:bCs/>
        </w:rPr>
        <w:t xml:space="preserve">as adulterated only </w:t>
      </w:r>
      <w:r>
        <w:rPr>
          <w:rFonts w:ascii="Garamond" w:hAnsi="Garamond"/>
          <w:bCs/>
        </w:rPr>
        <w:t>pork contaminated with a certain level</w:t>
      </w:r>
      <w:r w:rsidR="007626D4">
        <w:rPr>
          <w:rFonts w:ascii="Garamond" w:hAnsi="Garamond"/>
          <w:bCs/>
        </w:rPr>
        <w:t xml:space="preserve"> of one or more </w:t>
      </w:r>
      <w:r w:rsidR="007626D4">
        <w:rPr>
          <w:rFonts w:ascii="Garamond" w:hAnsi="Garamond"/>
          <w:bCs/>
          <w:i/>
          <w:iCs/>
        </w:rPr>
        <w:t>Salmonella</w:t>
      </w:r>
      <w:r w:rsidR="007626D4">
        <w:rPr>
          <w:rFonts w:ascii="Garamond" w:hAnsi="Garamond"/>
          <w:bCs/>
        </w:rPr>
        <w:t xml:space="preserve"> serovars</w:t>
      </w:r>
      <w:r w:rsidR="0001743C">
        <w:rPr>
          <w:rFonts w:ascii="Garamond" w:hAnsi="Garamond"/>
          <w:bCs/>
        </w:rPr>
        <w:t xml:space="preserve">. In other words, </w:t>
      </w:r>
      <w:r w:rsidR="00DB4C73">
        <w:rPr>
          <w:rFonts w:ascii="Garamond" w:hAnsi="Garamond"/>
          <w:bCs/>
        </w:rPr>
        <w:t>if the</w:t>
      </w:r>
      <w:r w:rsidR="007626D4">
        <w:rPr>
          <w:rFonts w:ascii="Garamond" w:hAnsi="Garamond"/>
          <w:bCs/>
        </w:rPr>
        <w:t xml:space="preserve"> concentration </w:t>
      </w:r>
      <w:r w:rsidR="00DB4C73">
        <w:rPr>
          <w:rFonts w:ascii="Garamond" w:hAnsi="Garamond"/>
          <w:bCs/>
        </w:rPr>
        <w:t xml:space="preserve">per sampled unit </w:t>
      </w:r>
      <w:r w:rsidR="007626D4">
        <w:rPr>
          <w:rFonts w:ascii="Garamond" w:hAnsi="Garamond"/>
          <w:bCs/>
        </w:rPr>
        <w:t xml:space="preserve">of </w:t>
      </w:r>
      <w:r w:rsidR="00DB4C73">
        <w:rPr>
          <w:rFonts w:ascii="Garamond" w:hAnsi="Garamond"/>
          <w:bCs/>
          <w:i/>
          <w:iCs/>
        </w:rPr>
        <w:t xml:space="preserve">S. </w:t>
      </w:r>
      <w:r w:rsidR="00DB4C73">
        <w:rPr>
          <w:rFonts w:ascii="Garamond" w:hAnsi="Garamond"/>
          <w:bCs/>
        </w:rPr>
        <w:t>Typhimurium or some other designated pathogen exceeds the threshold set by FSIS, the agency disallows sale of the sampled lot without further treatment.</w:t>
      </w:r>
      <w:r w:rsidR="007626D4">
        <w:rPr>
          <w:rFonts w:ascii="Garamond" w:hAnsi="Garamond"/>
          <w:bCs/>
        </w:rPr>
        <w:t xml:space="preserve"> Levels of contamination </w:t>
      </w:r>
      <w:r w:rsidR="000822A2">
        <w:rPr>
          <w:rFonts w:ascii="Garamond" w:hAnsi="Garamond"/>
          <w:bCs/>
        </w:rPr>
        <w:t xml:space="preserve">may not correlate with </w:t>
      </w:r>
      <w:r w:rsidR="004B0089">
        <w:rPr>
          <w:rFonts w:ascii="Garamond" w:hAnsi="Garamond"/>
          <w:bCs/>
        </w:rPr>
        <w:t xml:space="preserve">the </w:t>
      </w:r>
      <w:r w:rsidR="000822A2">
        <w:rPr>
          <w:rFonts w:ascii="Garamond" w:hAnsi="Garamond"/>
          <w:bCs/>
        </w:rPr>
        <w:t xml:space="preserve">prevalence of contaminated samples. Indeed, the FSIS risk assessment assumes that these two variables are independent. Nevertheless, </w:t>
      </w:r>
      <w:r w:rsidR="0030407C">
        <w:rPr>
          <w:rFonts w:ascii="Garamond" w:hAnsi="Garamond"/>
          <w:bCs/>
        </w:rPr>
        <w:t>“</w:t>
      </w:r>
      <w:r w:rsidR="0030407C" w:rsidRPr="0030407C">
        <w:rPr>
          <w:rFonts w:ascii="Garamond" w:hAnsi="Garamond"/>
          <w:bCs/>
        </w:rPr>
        <w:t>higher</w:t>
      </w:r>
      <w:r w:rsidR="0030407C">
        <w:rPr>
          <w:rFonts w:ascii="Garamond" w:hAnsi="Garamond"/>
          <w:bCs/>
        </w:rPr>
        <w:t xml:space="preserve"> </w:t>
      </w:r>
      <w:r w:rsidR="0030407C" w:rsidRPr="0030407C">
        <w:rPr>
          <w:rFonts w:ascii="Garamond" w:hAnsi="Garamond"/>
          <w:bCs/>
        </w:rPr>
        <w:t xml:space="preserve">levels of </w:t>
      </w:r>
      <w:r w:rsidR="0030407C" w:rsidRPr="0030407C">
        <w:rPr>
          <w:rFonts w:ascii="Garamond" w:hAnsi="Garamond"/>
          <w:bCs/>
          <w:i/>
          <w:iCs/>
        </w:rPr>
        <w:t>Salmonella</w:t>
      </w:r>
      <w:r w:rsidR="0030407C" w:rsidRPr="0030407C">
        <w:rPr>
          <w:rFonts w:ascii="Garamond" w:hAnsi="Garamond"/>
          <w:bCs/>
        </w:rPr>
        <w:t xml:space="preserve"> are more likely to cause illness</w:t>
      </w:r>
      <w:r w:rsidR="0030407C">
        <w:rPr>
          <w:rFonts w:ascii="Garamond" w:hAnsi="Garamond"/>
          <w:bCs/>
        </w:rPr>
        <w:t>”</w:t>
      </w:r>
      <w:r w:rsidR="00DB4C73">
        <w:rPr>
          <w:rFonts w:ascii="Garamond" w:hAnsi="Garamond"/>
          <w:bCs/>
        </w:rPr>
        <w:t xml:space="preserve"> and </w:t>
      </w:r>
      <w:r w:rsidR="003C03E6">
        <w:rPr>
          <w:rFonts w:ascii="Garamond" w:hAnsi="Garamond"/>
          <w:bCs/>
        </w:rPr>
        <w:t>so targeting highly contaminated product may benefit public health.</w:t>
      </w:r>
      <w:r w:rsidR="00FA1D83">
        <w:rPr>
          <w:rStyle w:val="FootnoteReference"/>
          <w:rFonts w:ascii="Garamond" w:hAnsi="Garamond"/>
          <w:bCs/>
        </w:rPr>
        <w:footnoteReference w:id="17"/>
      </w:r>
      <w:r w:rsidR="0030407C">
        <w:rPr>
          <w:rFonts w:ascii="Garamond" w:hAnsi="Garamond"/>
          <w:bCs/>
        </w:rPr>
        <w:t xml:space="preserve"> </w:t>
      </w:r>
      <w:r w:rsidR="00FA1D83">
        <w:rPr>
          <w:rFonts w:ascii="Garamond" w:hAnsi="Garamond"/>
          <w:bCs/>
        </w:rPr>
        <w:t>Th</w:t>
      </w:r>
      <w:r w:rsidR="003C03E6">
        <w:rPr>
          <w:rFonts w:ascii="Garamond" w:hAnsi="Garamond"/>
          <w:bCs/>
        </w:rPr>
        <w:t>e</w:t>
      </w:r>
      <w:r w:rsidR="00FA1D83">
        <w:rPr>
          <w:rFonts w:ascii="Garamond" w:hAnsi="Garamond"/>
          <w:bCs/>
        </w:rPr>
        <w:t xml:space="preserve"> relationship between high bacterial loads and public health outcomes has led </w:t>
      </w:r>
      <w:r w:rsidR="000822A2">
        <w:rPr>
          <w:rFonts w:ascii="Garamond" w:hAnsi="Garamond"/>
          <w:bCs/>
        </w:rPr>
        <w:t xml:space="preserve">New Zealand, for example, </w:t>
      </w:r>
      <w:r w:rsidR="00FA1D83">
        <w:rPr>
          <w:rFonts w:ascii="Garamond" w:hAnsi="Garamond"/>
          <w:bCs/>
        </w:rPr>
        <w:t xml:space="preserve">to adopt </w:t>
      </w:r>
      <w:r w:rsidR="000822A2">
        <w:rPr>
          <w:rFonts w:ascii="Garamond" w:hAnsi="Garamond"/>
          <w:bCs/>
        </w:rPr>
        <w:t xml:space="preserve">an enumeration limit in tandem with a “prevalence performance target” for </w:t>
      </w:r>
      <w:r w:rsidR="000822A2">
        <w:rPr>
          <w:rFonts w:ascii="Garamond" w:hAnsi="Garamond"/>
          <w:bCs/>
          <w:i/>
          <w:iCs/>
        </w:rPr>
        <w:t xml:space="preserve">Campylobacter </w:t>
      </w:r>
      <w:r w:rsidR="000822A2">
        <w:rPr>
          <w:rFonts w:ascii="Garamond" w:hAnsi="Garamond"/>
          <w:bCs/>
        </w:rPr>
        <w:t>in chicken.</w:t>
      </w:r>
      <w:r w:rsidR="00FA1D83">
        <w:rPr>
          <w:rStyle w:val="FootnoteReference"/>
          <w:rFonts w:ascii="Garamond" w:hAnsi="Garamond"/>
          <w:bCs/>
        </w:rPr>
        <w:footnoteReference w:id="18"/>
      </w:r>
      <w:r w:rsidR="00603DC9">
        <w:rPr>
          <w:rFonts w:ascii="Garamond" w:hAnsi="Garamond"/>
          <w:bCs/>
        </w:rPr>
        <w:t xml:space="preserve"> </w:t>
      </w:r>
      <w:r w:rsidR="00097EAB">
        <w:rPr>
          <w:rFonts w:ascii="Garamond" w:hAnsi="Garamond"/>
          <w:bCs/>
        </w:rPr>
        <w:t xml:space="preserve">In recent years, testing </w:t>
      </w:r>
      <w:r w:rsidR="00FA1D83">
        <w:rPr>
          <w:rFonts w:ascii="Garamond" w:hAnsi="Garamond"/>
          <w:bCs/>
        </w:rPr>
        <w:t xml:space="preserve">technologies </w:t>
      </w:r>
      <w:r w:rsidR="00097EAB">
        <w:rPr>
          <w:rFonts w:ascii="Garamond" w:hAnsi="Garamond"/>
          <w:bCs/>
        </w:rPr>
        <w:t>have evolved such that inspectors would need only a few hours to verify that a sample does not contain a particular microorganism</w:t>
      </w:r>
      <w:r w:rsidR="003C03E6">
        <w:rPr>
          <w:rFonts w:ascii="Garamond" w:hAnsi="Garamond"/>
          <w:bCs/>
        </w:rPr>
        <w:t>, at a particular concentration.</w:t>
      </w:r>
      <w:r w:rsidR="00097EAB">
        <w:rPr>
          <w:rStyle w:val="FootnoteReference"/>
          <w:rFonts w:ascii="Garamond" w:hAnsi="Garamond"/>
          <w:bCs/>
        </w:rPr>
        <w:footnoteReference w:id="19"/>
      </w:r>
      <w:r w:rsidR="00097EAB">
        <w:rPr>
          <w:rFonts w:ascii="Garamond" w:hAnsi="Garamond"/>
          <w:bCs/>
        </w:rPr>
        <w:t xml:space="preserve">  </w:t>
      </w:r>
    </w:p>
    <w:p w14:paraId="6FFD2E64" w14:textId="2D6C4600" w:rsidR="003C03E6" w:rsidRDefault="003C03E6" w:rsidP="0016447E">
      <w:pPr>
        <w:ind w:firstLine="720"/>
        <w:rPr>
          <w:rFonts w:ascii="Garamond" w:hAnsi="Garamond"/>
          <w:bCs/>
        </w:rPr>
      </w:pPr>
    </w:p>
    <w:p w14:paraId="2DC64644" w14:textId="100DC76B" w:rsidR="003C03E6" w:rsidRDefault="00E31C06" w:rsidP="0016447E">
      <w:pPr>
        <w:ind w:firstLine="720"/>
        <w:rPr>
          <w:rFonts w:ascii="Garamond" w:hAnsi="Garamond"/>
          <w:bCs/>
          <w:u w:val="single"/>
        </w:rPr>
      </w:pPr>
      <w:r>
        <w:rPr>
          <w:rFonts w:ascii="Garamond" w:hAnsi="Garamond"/>
          <w:bCs/>
          <w:u w:val="single"/>
        </w:rPr>
        <w:t>FSIS should use available fluorescent imaging technology to fully enforce the existing prohibition against contamination of pork with fecal material.</w:t>
      </w:r>
    </w:p>
    <w:p w14:paraId="74791C7C" w14:textId="52F1374A" w:rsidR="00E31C06" w:rsidRDefault="00E31C06" w:rsidP="0016447E">
      <w:pPr>
        <w:ind w:firstLine="720"/>
        <w:rPr>
          <w:rFonts w:ascii="Garamond" w:hAnsi="Garamond"/>
          <w:bCs/>
          <w:u w:val="single"/>
        </w:rPr>
      </w:pPr>
    </w:p>
    <w:p w14:paraId="0C6AFEEC" w14:textId="65067F94" w:rsidR="00AC089F" w:rsidRDefault="00E31C06" w:rsidP="00B42B0C">
      <w:pPr>
        <w:ind w:firstLine="720"/>
        <w:rPr>
          <w:rFonts w:ascii="Garamond" w:hAnsi="Garamond"/>
          <w:bCs/>
        </w:rPr>
      </w:pPr>
      <w:r>
        <w:rPr>
          <w:rFonts w:ascii="Garamond" w:hAnsi="Garamond"/>
          <w:bCs/>
        </w:rPr>
        <w:t>FSIS currently has a product standard for pork insofar as it “</w:t>
      </w:r>
      <w:r w:rsidRPr="00E31C06">
        <w:rPr>
          <w:rFonts w:ascii="Garamond" w:hAnsi="Garamond"/>
          <w:bCs/>
        </w:rPr>
        <w:t xml:space="preserve">enforces a </w:t>
      </w:r>
      <w:r>
        <w:rPr>
          <w:rFonts w:ascii="Garamond" w:hAnsi="Garamond"/>
          <w:bCs/>
        </w:rPr>
        <w:t>‘</w:t>
      </w:r>
      <w:r w:rsidRPr="00E31C06">
        <w:rPr>
          <w:rFonts w:ascii="Garamond" w:hAnsi="Garamond"/>
          <w:bCs/>
        </w:rPr>
        <w:t>zero tolerance</w:t>
      </w:r>
      <w:r>
        <w:rPr>
          <w:rFonts w:ascii="Garamond" w:hAnsi="Garamond"/>
          <w:bCs/>
        </w:rPr>
        <w:t>’</w:t>
      </w:r>
      <w:r w:rsidRPr="00E31C06">
        <w:rPr>
          <w:rFonts w:ascii="Garamond" w:hAnsi="Garamond"/>
          <w:bCs/>
        </w:rPr>
        <w:t xml:space="preserve"> standard</w:t>
      </w:r>
      <w:r>
        <w:rPr>
          <w:rFonts w:ascii="Garamond" w:hAnsi="Garamond"/>
          <w:bCs/>
        </w:rPr>
        <w:t xml:space="preserve"> </w:t>
      </w:r>
      <w:r w:rsidRPr="00E31C06">
        <w:rPr>
          <w:rFonts w:ascii="Garamond" w:hAnsi="Garamond"/>
          <w:bCs/>
        </w:rPr>
        <w:t>for visible fecal material, ingesta, or milk on carcasses and parts at the time of inspection.</w:t>
      </w:r>
      <w:r>
        <w:rPr>
          <w:rFonts w:ascii="Garamond" w:hAnsi="Garamond"/>
          <w:bCs/>
        </w:rPr>
        <w:t>”</w:t>
      </w:r>
      <w:r>
        <w:rPr>
          <w:rStyle w:val="FootnoteReference"/>
          <w:rFonts w:ascii="Garamond" w:hAnsi="Garamond"/>
          <w:bCs/>
        </w:rPr>
        <w:footnoteReference w:id="20"/>
      </w:r>
      <w:r>
        <w:rPr>
          <w:rFonts w:ascii="Garamond" w:hAnsi="Garamond"/>
          <w:bCs/>
        </w:rPr>
        <w:t xml:space="preserve"> </w:t>
      </w:r>
      <w:r w:rsidR="000B2211">
        <w:rPr>
          <w:rFonts w:ascii="Garamond" w:hAnsi="Garamond"/>
          <w:bCs/>
        </w:rPr>
        <w:t>FSIS regulations require that establishments “</w:t>
      </w:r>
      <w:r w:rsidR="000B2211" w:rsidRPr="000B2211">
        <w:rPr>
          <w:rFonts w:ascii="Garamond" w:hAnsi="Garamond"/>
          <w:bCs/>
        </w:rPr>
        <w:t>prevent contamination with fecal material, urine, bile, hair, dirt, or foreign matter</w:t>
      </w:r>
      <w:r w:rsidR="000B2211">
        <w:rPr>
          <w:rFonts w:ascii="Garamond" w:hAnsi="Garamond"/>
          <w:bCs/>
        </w:rPr>
        <w:t>,” and that “</w:t>
      </w:r>
      <w:r w:rsidR="000B2211" w:rsidRPr="000B2211">
        <w:rPr>
          <w:rFonts w:ascii="Garamond" w:hAnsi="Garamond"/>
          <w:bCs/>
        </w:rPr>
        <w:t>if contamination occurs, it shall be promptly removed in a manner satisfactory to the</w:t>
      </w:r>
      <w:r w:rsidR="000B2211">
        <w:rPr>
          <w:rFonts w:ascii="Garamond" w:hAnsi="Garamond"/>
          <w:bCs/>
        </w:rPr>
        <w:t xml:space="preserve"> </w:t>
      </w:r>
      <w:r w:rsidR="000B2211" w:rsidRPr="000B2211">
        <w:rPr>
          <w:rFonts w:ascii="Garamond" w:hAnsi="Garamond"/>
          <w:bCs/>
        </w:rPr>
        <w:t>inspector.</w:t>
      </w:r>
      <w:r w:rsidR="000B2211">
        <w:rPr>
          <w:rFonts w:ascii="Garamond" w:hAnsi="Garamond"/>
          <w:bCs/>
        </w:rPr>
        <w:t>”</w:t>
      </w:r>
      <w:r w:rsidR="000B2211">
        <w:rPr>
          <w:rStyle w:val="FootnoteReference"/>
          <w:rFonts w:ascii="Garamond" w:hAnsi="Garamond"/>
          <w:bCs/>
        </w:rPr>
        <w:footnoteReference w:id="21"/>
      </w:r>
      <w:r w:rsidR="000B2211">
        <w:rPr>
          <w:rFonts w:ascii="Garamond" w:hAnsi="Garamond"/>
          <w:bCs/>
        </w:rPr>
        <w:t xml:space="preserve"> This “zero tolerance” policy makes sense </w:t>
      </w:r>
      <w:r w:rsidR="00B42B0C" w:rsidRPr="00B42B0C">
        <w:rPr>
          <w:rFonts w:ascii="Garamond" w:hAnsi="Garamond"/>
          <w:bCs/>
        </w:rPr>
        <w:t xml:space="preserve">because </w:t>
      </w:r>
      <w:r w:rsidR="00B42B0C" w:rsidRPr="00B42B0C">
        <w:rPr>
          <w:rFonts w:ascii="Garamond" w:hAnsi="Garamond"/>
          <w:bCs/>
          <w:i/>
          <w:iCs/>
        </w:rPr>
        <w:t>Salmonella</w:t>
      </w:r>
      <w:r w:rsidR="00B42B0C" w:rsidRPr="00B42B0C">
        <w:rPr>
          <w:rFonts w:ascii="Garamond" w:hAnsi="Garamond"/>
          <w:bCs/>
        </w:rPr>
        <w:t xml:space="preserve"> </w:t>
      </w:r>
      <w:r w:rsidR="00B42B0C">
        <w:rPr>
          <w:rFonts w:ascii="Garamond" w:hAnsi="Garamond"/>
          <w:bCs/>
        </w:rPr>
        <w:t xml:space="preserve">and other pathogens </w:t>
      </w:r>
      <w:r w:rsidR="00B42B0C" w:rsidRPr="00B42B0C">
        <w:rPr>
          <w:rFonts w:ascii="Garamond" w:hAnsi="Garamond"/>
          <w:bCs/>
        </w:rPr>
        <w:t>tend to colonize hogs’ intestinal tracts</w:t>
      </w:r>
      <w:r w:rsidR="00B42B0C">
        <w:rPr>
          <w:rFonts w:ascii="Garamond" w:hAnsi="Garamond"/>
          <w:bCs/>
        </w:rPr>
        <w:t xml:space="preserve"> </w:t>
      </w:r>
      <w:r w:rsidR="00B42B0C" w:rsidRPr="00B42B0C">
        <w:rPr>
          <w:rFonts w:ascii="Garamond" w:hAnsi="Garamond"/>
          <w:bCs/>
        </w:rPr>
        <w:t>and fecal material initially on a carcass or released during the slaughter process c</w:t>
      </w:r>
      <w:r w:rsidR="00B42B0C">
        <w:rPr>
          <w:rFonts w:ascii="Garamond" w:hAnsi="Garamond"/>
          <w:bCs/>
        </w:rPr>
        <w:t>reates food safety risk.</w:t>
      </w:r>
      <w:r w:rsidR="00B42B0C">
        <w:rPr>
          <w:rStyle w:val="FootnoteReference"/>
          <w:rFonts w:ascii="Garamond" w:hAnsi="Garamond"/>
          <w:bCs/>
        </w:rPr>
        <w:footnoteReference w:id="22"/>
      </w:r>
      <w:r w:rsidR="00B42B0C">
        <w:rPr>
          <w:rFonts w:ascii="Garamond" w:hAnsi="Garamond"/>
          <w:bCs/>
        </w:rPr>
        <w:t xml:space="preserve"> </w:t>
      </w:r>
      <w:r w:rsidR="00961E1D">
        <w:rPr>
          <w:rFonts w:ascii="Garamond" w:hAnsi="Garamond"/>
          <w:bCs/>
        </w:rPr>
        <w:t>However, FSIS does not pursue “zero tolerance” to the extent that it might.</w:t>
      </w:r>
      <w:r w:rsidR="008261D2">
        <w:rPr>
          <w:rFonts w:ascii="Garamond" w:hAnsi="Garamond"/>
          <w:bCs/>
        </w:rPr>
        <w:t xml:space="preserve"> </w:t>
      </w:r>
    </w:p>
    <w:p w14:paraId="3EF5C327" w14:textId="77777777" w:rsidR="00AC089F" w:rsidRDefault="00AC089F" w:rsidP="00B42B0C">
      <w:pPr>
        <w:ind w:firstLine="720"/>
        <w:rPr>
          <w:rFonts w:ascii="Garamond" w:hAnsi="Garamond"/>
          <w:bCs/>
        </w:rPr>
      </w:pPr>
    </w:p>
    <w:p w14:paraId="25958000" w14:textId="0DE5FE59" w:rsidR="000220E5" w:rsidRDefault="00961E1D" w:rsidP="00B42B0C">
      <w:pPr>
        <w:ind w:firstLine="720"/>
        <w:rPr>
          <w:rFonts w:ascii="Garamond" w:hAnsi="Garamond"/>
          <w:bCs/>
        </w:rPr>
      </w:pPr>
      <w:r>
        <w:rPr>
          <w:rFonts w:ascii="Garamond" w:hAnsi="Garamond"/>
          <w:bCs/>
        </w:rPr>
        <w:t>B</w:t>
      </w:r>
      <w:r w:rsidR="00E676B7">
        <w:rPr>
          <w:rFonts w:ascii="Garamond" w:hAnsi="Garamond"/>
          <w:bCs/>
        </w:rPr>
        <w:t>y relying solely on visual inspection of hog carcasses, FSIS allows some fecal contamination to escape detection</w:t>
      </w:r>
      <w:r>
        <w:rPr>
          <w:rFonts w:ascii="Garamond" w:hAnsi="Garamond"/>
          <w:bCs/>
        </w:rPr>
        <w:t>.</w:t>
      </w:r>
      <w:r w:rsidR="00E676B7">
        <w:rPr>
          <w:rFonts w:ascii="Garamond" w:hAnsi="Garamond"/>
          <w:bCs/>
        </w:rPr>
        <w:t xml:space="preserve"> </w:t>
      </w:r>
      <w:r w:rsidR="008261D2">
        <w:rPr>
          <w:rFonts w:ascii="Garamond" w:hAnsi="Garamond"/>
          <w:bCs/>
        </w:rPr>
        <w:t>F</w:t>
      </w:r>
      <w:r>
        <w:rPr>
          <w:rFonts w:ascii="Garamond" w:hAnsi="Garamond"/>
          <w:bCs/>
        </w:rPr>
        <w:t xml:space="preserve">luorescent imaging technology </w:t>
      </w:r>
      <w:r w:rsidR="00943C50">
        <w:rPr>
          <w:rFonts w:ascii="Garamond" w:hAnsi="Garamond"/>
          <w:bCs/>
        </w:rPr>
        <w:t xml:space="preserve">is capable of catching </w:t>
      </w:r>
      <w:r w:rsidR="00AC089F">
        <w:rPr>
          <w:rFonts w:ascii="Garamond" w:hAnsi="Garamond"/>
          <w:bCs/>
        </w:rPr>
        <w:t xml:space="preserve">many of </w:t>
      </w:r>
      <w:r w:rsidR="00943C50">
        <w:rPr>
          <w:rFonts w:ascii="Garamond" w:hAnsi="Garamond"/>
          <w:bCs/>
        </w:rPr>
        <w:t xml:space="preserve">these </w:t>
      </w:r>
      <w:r w:rsidR="00943C50">
        <w:rPr>
          <w:rFonts w:ascii="Garamond" w:hAnsi="Garamond"/>
          <w:bCs/>
        </w:rPr>
        <w:lastRenderedPageBreak/>
        <w:t>oversights.</w:t>
      </w:r>
      <w:r w:rsidR="00943C50">
        <w:rPr>
          <w:rStyle w:val="FootnoteReference"/>
          <w:rFonts w:ascii="Garamond" w:hAnsi="Garamond"/>
          <w:bCs/>
        </w:rPr>
        <w:footnoteReference w:id="23"/>
      </w:r>
      <w:r w:rsidR="008261D2">
        <w:rPr>
          <w:rFonts w:ascii="Garamond" w:hAnsi="Garamond"/>
          <w:bCs/>
        </w:rPr>
        <w:t xml:space="preserve"> Yet</w:t>
      </w:r>
      <w:r w:rsidR="00167774">
        <w:rPr>
          <w:rFonts w:ascii="Garamond" w:hAnsi="Garamond"/>
          <w:bCs/>
        </w:rPr>
        <w:t>,</w:t>
      </w:r>
      <w:r w:rsidR="008261D2">
        <w:rPr>
          <w:rFonts w:ascii="Garamond" w:hAnsi="Garamond"/>
          <w:bCs/>
        </w:rPr>
        <w:t xml:space="preserve"> under the current rules, establishments have little incentive to invest in </w:t>
      </w:r>
      <w:r w:rsidR="00CD349A">
        <w:rPr>
          <w:rFonts w:ascii="Garamond" w:hAnsi="Garamond"/>
          <w:bCs/>
        </w:rPr>
        <w:t>these</w:t>
      </w:r>
      <w:r w:rsidR="008261D2">
        <w:rPr>
          <w:rFonts w:ascii="Garamond" w:hAnsi="Garamond"/>
          <w:bCs/>
        </w:rPr>
        <w:t xml:space="preserve"> technologies</w:t>
      </w:r>
      <w:r w:rsidR="00CD349A">
        <w:rPr>
          <w:rFonts w:ascii="Garamond" w:hAnsi="Garamond"/>
          <w:bCs/>
        </w:rPr>
        <w:t xml:space="preserve"> or to minimize fecal contamination beyond what an inspector is likely to see.</w:t>
      </w:r>
      <w:r w:rsidR="00AC089F">
        <w:rPr>
          <w:rFonts w:ascii="Garamond" w:hAnsi="Garamond"/>
          <w:bCs/>
        </w:rPr>
        <w:t xml:space="preserve"> </w:t>
      </w:r>
      <w:r w:rsidR="008261D2">
        <w:rPr>
          <w:rFonts w:ascii="Garamond" w:hAnsi="Garamond"/>
          <w:bCs/>
        </w:rPr>
        <w:t xml:space="preserve">FSIS should integrate fluorescent imaging technology into </w:t>
      </w:r>
      <w:r w:rsidR="00AC089F">
        <w:rPr>
          <w:rFonts w:ascii="Garamond" w:hAnsi="Garamond"/>
          <w:bCs/>
        </w:rPr>
        <w:t>the “Livestock Zero Tolerance Verification inspection task</w:t>
      </w:r>
      <w:r w:rsidR="00CD349A">
        <w:rPr>
          <w:rFonts w:ascii="Garamond" w:hAnsi="Garamond"/>
          <w:bCs/>
        </w:rPr>
        <w:t xml:space="preserve">.” Doing so would make the agency’s “verification” more meaningful, and quite possibly reduce </w:t>
      </w:r>
      <w:r w:rsidR="00CD349A">
        <w:rPr>
          <w:rFonts w:ascii="Garamond" w:hAnsi="Garamond"/>
          <w:bCs/>
          <w:i/>
          <w:iCs/>
        </w:rPr>
        <w:t xml:space="preserve">Salmonella </w:t>
      </w:r>
      <w:r w:rsidR="00CD349A">
        <w:rPr>
          <w:rFonts w:ascii="Garamond" w:hAnsi="Garamond"/>
          <w:bCs/>
        </w:rPr>
        <w:t xml:space="preserve">infections caused by pork as much or more than the proposed performance standards. </w:t>
      </w:r>
      <w:r w:rsidR="00E676B7">
        <w:rPr>
          <w:rFonts w:ascii="Garamond" w:hAnsi="Garamond"/>
          <w:bCs/>
        </w:rPr>
        <w:t xml:space="preserve"> </w:t>
      </w:r>
    </w:p>
    <w:p w14:paraId="0A250A37" w14:textId="77777777" w:rsidR="00B42B0C" w:rsidRDefault="00B42B0C" w:rsidP="00B42B0C">
      <w:pPr>
        <w:ind w:firstLine="720"/>
        <w:rPr>
          <w:rFonts w:ascii="Garamond" w:hAnsi="Garamond"/>
          <w:bCs/>
        </w:rPr>
      </w:pPr>
    </w:p>
    <w:p w14:paraId="3AAAE53A" w14:textId="30FDDE19" w:rsidR="000220E5" w:rsidRDefault="000220E5" w:rsidP="0016447E">
      <w:pPr>
        <w:ind w:firstLine="720"/>
        <w:rPr>
          <w:rFonts w:ascii="Garamond" w:hAnsi="Garamond"/>
          <w:bCs/>
          <w:u w:val="single"/>
        </w:rPr>
      </w:pPr>
      <w:r>
        <w:rPr>
          <w:rFonts w:ascii="Garamond" w:hAnsi="Garamond"/>
          <w:bCs/>
          <w:u w:val="single"/>
        </w:rPr>
        <w:t>Conclusion</w:t>
      </w:r>
    </w:p>
    <w:p w14:paraId="163E2A78" w14:textId="268C2C08" w:rsidR="000220E5" w:rsidRDefault="000220E5" w:rsidP="0016447E">
      <w:pPr>
        <w:ind w:firstLine="720"/>
        <w:rPr>
          <w:rFonts w:ascii="Garamond" w:hAnsi="Garamond"/>
          <w:bCs/>
          <w:u w:val="single"/>
        </w:rPr>
      </w:pPr>
    </w:p>
    <w:p w14:paraId="7DB06A8B" w14:textId="0F2707C8" w:rsidR="00C52193" w:rsidRDefault="000220E5" w:rsidP="00C52193">
      <w:pPr>
        <w:ind w:firstLine="720"/>
        <w:rPr>
          <w:rFonts w:ascii="Garamond" w:hAnsi="Garamond"/>
          <w:bCs/>
        </w:rPr>
      </w:pPr>
      <w:r>
        <w:rPr>
          <w:rFonts w:ascii="Garamond" w:hAnsi="Garamond"/>
          <w:bCs/>
        </w:rPr>
        <w:t xml:space="preserve">The proposed performance standards </w:t>
      </w:r>
      <w:r w:rsidR="00AD4F9B">
        <w:rPr>
          <w:rFonts w:ascii="Garamond" w:hAnsi="Garamond"/>
          <w:bCs/>
        </w:rPr>
        <w:t xml:space="preserve">will provide an important measure of food safety across the pork processing industry, </w:t>
      </w:r>
      <w:r w:rsidR="003C03E6">
        <w:rPr>
          <w:rFonts w:ascii="Garamond" w:hAnsi="Garamond"/>
          <w:bCs/>
        </w:rPr>
        <w:t xml:space="preserve">allowing for an “apples-to-apples” comparison of establishments operating under different inspection regimes, and employing different food safety management systems. </w:t>
      </w:r>
      <w:r w:rsidR="00AD4F9B">
        <w:rPr>
          <w:rFonts w:ascii="Garamond" w:hAnsi="Garamond"/>
          <w:bCs/>
        </w:rPr>
        <w:t xml:space="preserve">FSIS should hasten to implement the standards and publish the compliance status of establishments. </w:t>
      </w:r>
      <w:r w:rsidR="00C52193">
        <w:rPr>
          <w:rFonts w:ascii="Garamond" w:hAnsi="Garamond"/>
          <w:bCs/>
        </w:rPr>
        <w:t>At the same time, the agency should develop enforceable product standards that are more closely aligned with public health objectives</w:t>
      </w:r>
      <w:r w:rsidR="00CD349A">
        <w:rPr>
          <w:rFonts w:ascii="Garamond" w:hAnsi="Garamond"/>
          <w:bCs/>
        </w:rPr>
        <w:t xml:space="preserve">, and incorporate new tools, such as fluorescent imaging, to fully enforce existing </w:t>
      </w:r>
      <w:r w:rsidR="00D52451">
        <w:rPr>
          <w:rFonts w:ascii="Garamond" w:hAnsi="Garamond"/>
          <w:bCs/>
        </w:rPr>
        <w:t xml:space="preserve">inspection </w:t>
      </w:r>
      <w:r w:rsidR="00CD349A">
        <w:rPr>
          <w:rFonts w:ascii="Garamond" w:hAnsi="Garamond"/>
          <w:bCs/>
        </w:rPr>
        <w:t>st</w:t>
      </w:r>
      <w:r w:rsidR="00D52451">
        <w:rPr>
          <w:rFonts w:ascii="Garamond" w:hAnsi="Garamond"/>
          <w:bCs/>
        </w:rPr>
        <w:t>andards.</w:t>
      </w:r>
      <w:r w:rsidR="00C52193">
        <w:rPr>
          <w:rFonts w:ascii="Garamond" w:hAnsi="Garamond"/>
          <w:bCs/>
        </w:rPr>
        <w:t xml:space="preserve"> </w:t>
      </w:r>
    </w:p>
    <w:p w14:paraId="7E5D5B98" w14:textId="77777777" w:rsidR="00C52193" w:rsidRDefault="00C52193" w:rsidP="00C52193">
      <w:pPr>
        <w:ind w:firstLine="720"/>
        <w:rPr>
          <w:rFonts w:ascii="Garamond" w:hAnsi="Garamond"/>
          <w:bCs/>
        </w:rPr>
      </w:pPr>
    </w:p>
    <w:p w14:paraId="217378B4" w14:textId="77777777" w:rsidR="00EF66AF" w:rsidRDefault="00EF66AF" w:rsidP="00EF66AF">
      <w:pPr>
        <w:ind w:firstLine="720"/>
        <w:jc w:val="both"/>
        <w:rPr>
          <w:rFonts w:ascii="Garamond" w:hAnsi="Garamond"/>
        </w:rPr>
      </w:pPr>
      <w:r>
        <w:rPr>
          <w:rFonts w:ascii="Garamond" w:hAnsi="Garamond"/>
        </w:rPr>
        <w:t xml:space="preserve">Thank you for your consideration of these comments. </w:t>
      </w:r>
    </w:p>
    <w:p w14:paraId="268A9389" w14:textId="77777777" w:rsidR="00C52193" w:rsidRDefault="00EF66AF" w:rsidP="00EF66AF">
      <w:pPr>
        <w:jc w:val="both"/>
        <w:rPr>
          <w:rFonts w:ascii="Garamond" w:hAnsi="Garamond"/>
        </w:rPr>
      </w:pPr>
      <w:r>
        <w:rPr>
          <w:rFonts w:ascii="Garamond" w:hAnsi="Garamond"/>
        </w:rPr>
        <w:tab/>
      </w:r>
    </w:p>
    <w:p w14:paraId="65EA66A8" w14:textId="4521D749" w:rsidR="00EF66AF" w:rsidRDefault="00EF66AF" w:rsidP="00C52193">
      <w:pPr>
        <w:ind w:firstLine="720"/>
        <w:jc w:val="both"/>
        <w:rPr>
          <w:rFonts w:ascii="Garamond" w:hAnsi="Garamond"/>
        </w:rPr>
      </w:pPr>
      <w:r>
        <w:rPr>
          <w:rFonts w:ascii="Garamond" w:hAnsi="Garamond"/>
        </w:rPr>
        <w:t xml:space="preserve">Sincerely, </w:t>
      </w:r>
    </w:p>
    <w:p w14:paraId="6C712FFE" w14:textId="77777777" w:rsidR="00EF66AF" w:rsidRDefault="00EF66AF" w:rsidP="00EF66AF">
      <w:pPr>
        <w:jc w:val="both"/>
        <w:rPr>
          <w:rFonts w:ascii="Garamond" w:hAnsi="Garamond"/>
        </w:rPr>
      </w:pPr>
      <w:r>
        <w:rPr>
          <w:rFonts w:ascii="Garamond" w:hAnsi="Garamond"/>
        </w:rPr>
        <w:tab/>
      </w:r>
    </w:p>
    <w:p w14:paraId="4D4B11DE" w14:textId="77777777" w:rsidR="00EF66AF" w:rsidRDefault="00EF66AF" w:rsidP="00EF66AF">
      <w:pPr>
        <w:ind w:firstLine="720"/>
        <w:jc w:val="both"/>
        <w:rPr>
          <w:rFonts w:ascii="Garamond" w:hAnsi="Garamond"/>
        </w:rPr>
      </w:pPr>
      <w:r>
        <w:rPr>
          <w:rFonts w:ascii="Garamond" w:hAnsi="Garamond"/>
        </w:rPr>
        <w:t>Thomas Gremillion</w:t>
      </w:r>
    </w:p>
    <w:p w14:paraId="53F94F62" w14:textId="77777777" w:rsidR="00EF66AF" w:rsidRDefault="00EF66AF" w:rsidP="00EF66AF">
      <w:pPr>
        <w:jc w:val="both"/>
        <w:rPr>
          <w:rFonts w:ascii="Garamond" w:hAnsi="Garamond"/>
        </w:rPr>
      </w:pPr>
      <w:r>
        <w:rPr>
          <w:rFonts w:ascii="Garamond" w:hAnsi="Garamond"/>
        </w:rPr>
        <w:tab/>
        <w:t>Director of Food Policy</w:t>
      </w:r>
    </w:p>
    <w:p w14:paraId="1CB6E510" w14:textId="0093065B" w:rsidR="009E6DAC" w:rsidRPr="004B4F7D" w:rsidRDefault="00EF66AF" w:rsidP="00EF66AF">
      <w:pPr>
        <w:jc w:val="both"/>
        <w:rPr>
          <w:rFonts w:ascii="Garamond" w:hAnsi="Garamond"/>
        </w:rPr>
      </w:pPr>
      <w:r>
        <w:rPr>
          <w:rFonts w:ascii="Garamond" w:hAnsi="Garamond"/>
        </w:rPr>
        <w:tab/>
        <w:t>Consumer Federation of America</w:t>
      </w:r>
    </w:p>
    <w:sectPr w:rsidR="009E6DAC" w:rsidRPr="004B4F7D">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9975" w14:textId="77777777" w:rsidR="00BD1D47" w:rsidRDefault="00BD1D47" w:rsidP="009E6DAC">
      <w:r>
        <w:separator/>
      </w:r>
    </w:p>
  </w:endnote>
  <w:endnote w:type="continuationSeparator" w:id="0">
    <w:p w14:paraId="5961001D" w14:textId="77777777" w:rsidR="00BD1D47" w:rsidRDefault="00BD1D47" w:rsidP="009E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1078286"/>
      <w:docPartObj>
        <w:docPartGallery w:val="Page Numbers (Bottom of Page)"/>
        <w:docPartUnique/>
      </w:docPartObj>
    </w:sdtPr>
    <w:sdtEndPr>
      <w:rPr>
        <w:rStyle w:val="PageNumber"/>
      </w:rPr>
    </w:sdtEndPr>
    <w:sdtContent>
      <w:p w14:paraId="47E35921" w14:textId="5371833D" w:rsidR="009E6DAC" w:rsidRDefault="009E6DAC" w:rsidP="00674D82">
        <w:pPr>
          <w:pStyle w:val="Footer"/>
          <w:framePr w:wrap="none" w:vAnchor="text" w:hAnchor="margin" w:xAlign="right" w:y="1"/>
          <w:rPr>
            <w:rStyle w:val="PageNumber"/>
            <w:rFonts w:ascii="Times New Roman" w:hAnsi="Times New Roman" w:cs="Times New Roman"/>
          </w:rPr>
        </w:pPr>
        <w:r>
          <w:rPr>
            <w:rStyle w:val="PageNumber"/>
          </w:rPr>
          <w:fldChar w:fldCharType="begin"/>
        </w:r>
        <w:r>
          <w:rPr>
            <w:rStyle w:val="PageNumber"/>
          </w:rPr>
          <w:instrText xml:space="preserve"> PAGE </w:instrText>
        </w:r>
        <w:r w:rsidR="00674D82">
          <w:rPr>
            <w:rStyle w:val="PageNumber"/>
          </w:rPr>
          <w:fldChar w:fldCharType="separate"/>
        </w:r>
        <w:r w:rsidR="00674D82">
          <w:rPr>
            <w:rStyle w:val="PageNumber"/>
            <w:noProof/>
          </w:rPr>
          <w:t>2</w:t>
        </w:r>
        <w:r>
          <w:rPr>
            <w:rStyle w:val="PageNumber"/>
          </w:rPr>
          <w:fldChar w:fldCharType="end"/>
        </w:r>
      </w:p>
    </w:sdtContent>
  </w:sdt>
  <w:p w14:paraId="217CB2C8" w14:textId="77777777" w:rsidR="009E6DAC" w:rsidRDefault="009E6DAC" w:rsidP="009E6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251000"/>
      <w:docPartObj>
        <w:docPartGallery w:val="Page Numbers (Bottom of Page)"/>
        <w:docPartUnique/>
      </w:docPartObj>
    </w:sdtPr>
    <w:sdtEndPr>
      <w:rPr>
        <w:rStyle w:val="PageNumber"/>
      </w:rPr>
    </w:sdtEndPr>
    <w:sdtContent>
      <w:p w14:paraId="2B3E987D" w14:textId="4BC1D62D" w:rsidR="009E6DAC" w:rsidRDefault="009E6DAC" w:rsidP="00674D82">
        <w:pPr>
          <w:pStyle w:val="Footer"/>
          <w:framePr w:wrap="none" w:vAnchor="text" w:hAnchor="margin" w:xAlign="right" w:y="1"/>
          <w:rPr>
            <w:rStyle w:val="PageNumbe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3667F2" w14:textId="77777777" w:rsidR="009E6DAC" w:rsidRDefault="009E6DAC" w:rsidP="009E6D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68DD" w14:textId="77777777" w:rsidR="00BD1D47" w:rsidRDefault="00BD1D47" w:rsidP="009E6DAC">
      <w:r>
        <w:separator/>
      </w:r>
    </w:p>
  </w:footnote>
  <w:footnote w:type="continuationSeparator" w:id="0">
    <w:p w14:paraId="459E763E" w14:textId="77777777" w:rsidR="00BD1D47" w:rsidRDefault="00BD1D47" w:rsidP="009E6DAC">
      <w:r>
        <w:continuationSeparator/>
      </w:r>
    </w:p>
  </w:footnote>
  <w:footnote w:id="1">
    <w:p w14:paraId="11DF0AE9" w14:textId="6DF81324" w:rsidR="0035561D" w:rsidRPr="000A4A59" w:rsidRDefault="0035561D" w:rsidP="0035561D">
      <w:pPr>
        <w:pStyle w:val="FootnoteText"/>
        <w:rPr>
          <w:rFonts w:ascii="Garamond" w:hAnsi="Garamond"/>
          <w:color w:val="000000" w:themeColor="text1"/>
        </w:rPr>
      </w:pPr>
      <w:r w:rsidRPr="000A4A59">
        <w:rPr>
          <w:rStyle w:val="FootnoteReference"/>
          <w:rFonts w:ascii="Garamond" w:hAnsi="Garamond"/>
          <w:color w:val="000000" w:themeColor="text1"/>
        </w:rPr>
        <w:footnoteRef/>
      </w:r>
      <w:r w:rsidRPr="000A4A59">
        <w:rPr>
          <w:rFonts w:ascii="Garamond" w:hAnsi="Garamond"/>
          <w:color w:val="000000" w:themeColor="text1"/>
        </w:rPr>
        <w:t xml:space="preserve"> </w:t>
      </w:r>
      <w:r w:rsidR="00F60E11">
        <w:rPr>
          <w:rFonts w:ascii="Garamond" w:hAnsi="Garamond"/>
          <w:color w:val="000000" w:themeColor="text1"/>
        </w:rPr>
        <w:t xml:space="preserve">Painter, J.A., Hoekstra, R.M., Ayers, T., </w:t>
      </w:r>
      <w:proofErr w:type="spellStart"/>
      <w:r w:rsidR="00F60E11">
        <w:rPr>
          <w:rFonts w:ascii="Garamond" w:hAnsi="Garamond"/>
          <w:color w:val="000000" w:themeColor="text1"/>
        </w:rPr>
        <w:t>Tauxe</w:t>
      </w:r>
      <w:proofErr w:type="spellEnd"/>
      <w:r w:rsidR="00F60E11">
        <w:rPr>
          <w:rFonts w:ascii="Garamond" w:hAnsi="Garamond"/>
          <w:color w:val="000000" w:themeColor="text1"/>
        </w:rPr>
        <w:t xml:space="preserve">, R.V., Braden, C.R., Angulo, F.J., Griffin, P.M., </w:t>
      </w:r>
      <w:r w:rsidRPr="000A4A59">
        <w:rPr>
          <w:rFonts w:ascii="Garamond" w:hAnsi="Garamond"/>
          <w:color w:val="000000" w:themeColor="text1"/>
        </w:rPr>
        <w:t>Centers for Disease Control and Prevention</w:t>
      </w:r>
      <w:r w:rsidR="00B733D6">
        <w:rPr>
          <w:rFonts w:ascii="Garamond" w:hAnsi="Garamond"/>
          <w:color w:val="000000" w:themeColor="text1"/>
        </w:rPr>
        <w:t xml:space="preserve"> (CDC)</w:t>
      </w:r>
      <w:r w:rsidRPr="000A4A59">
        <w:rPr>
          <w:rFonts w:ascii="Garamond" w:hAnsi="Garamond"/>
          <w:color w:val="000000" w:themeColor="text1"/>
        </w:rPr>
        <w:t xml:space="preserve">, “Estimates of annual domestically acquired foodborne illnesses attributed </w:t>
      </w:r>
    </w:p>
    <w:p w14:paraId="34B239D4" w14:textId="5B18E54A" w:rsidR="0035561D" w:rsidRPr="000A4A59" w:rsidRDefault="0035561D" w:rsidP="0035561D">
      <w:pPr>
        <w:pStyle w:val="FootnoteText"/>
        <w:rPr>
          <w:rFonts w:ascii="Garamond" w:hAnsi="Garamond"/>
          <w:color w:val="000000" w:themeColor="text1"/>
        </w:rPr>
      </w:pPr>
      <w:r w:rsidRPr="000A4A59">
        <w:rPr>
          <w:rFonts w:ascii="Garamond" w:hAnsi="Garamond"/>
          <w:color w:val="000000" w:themeColor="text1"/>
        </w:rPr>
        <w:t>to specific food commodities and commodity groups, by pathogen type, United States, 1998–2008,” (March</w:t>
      </w:r>
      <w:r w:rsidR="009A19BC">
        <w:rPr>
          <w:rFonts w:ascii="Garamond" w:hAnsi="Garamond"/>
          <w:color w:val="000000" w:themeColor="text1"/>
        </w:rPr>
        <w:t>,</w:t>
      </w:r>
      <w:r w:rsidRPr="000A4A59">
        <w:rPr>
          <w:rFonts w:ascii="Garamond" w:hAnsi="Garamond"/>
          <w:color w:val="000000" w:themeColor="text1"/>
        </w:rPr>
        <w:t xml:space="preserve"> 2013) </w:t>
      </w:r>
    </w:p>
    <w:p w14:paraId="346141CC" w14:textId="77777777" w:rsidR="0035561D" w:rsidRPr="00873DD3" w:rsidRDefault="006352A6" w:rsidP="0035561D">
      <w:pPr>
        <w:pStyle w:val="FootnoteText"/>
        <w:rPr>
          <w:rFonts w:ascii="Garamond" w:hAnsi="Garamond"/>
          <w:color w:val="000000" w:themeColor="text1"/>
        </w:rPr>
      </w:pPr>
      <w:hyperlink r:id="rId1" w:history="1">
        <w:r w:rsidR="0035561D" w:rsidRPr="000A4A59">
          <w:rPr>
            <w:rStyle w:val="Hyperlink"/>
            <w:rFonts w:ascii="Garamond" w:hAnsi="Garamond"/>
            <w:color w:val="000000" w:themeColor="text1"/>
          </w:rPr>
          <w:t>https://wwwnc.cdc.gov/eid/article/19/3/11-1866-t1</w:t>
        </w:r>
      </w:hyperlink>
      <w:r w:rsidR="0035561D" w:rsidRPr="000A4A59">
        <w:rPr>
          <w:rFonts w:ascii="Garamond" w:hAnsi="Garamond"/>
          <w:color w:val="000000" w:themeColor="text1"/>
        </w:rPr>
        <w:t xml:space="preserve"> </w:t>
      </w:r>
    </w:p>
  </w:footnote>
  <w:footnote w:id="2">
    <w:p w14:paraId="38DA242B" w14:textId="22AFC359" w:rsidR="0035561D" w:rsidRPr="00224956" w:rsidRDefault="0035561D">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News Desk, “USDA: </w:t>
      </w:r>
      <w:r w:rsidRPr="00224956">
        <w:rPr>
          <w:rFonts w:ascii="Garamond" w:hAnsi="Garamond"/>
          <w:i/>
          <w:iCs/>
          <w:color w:val="000000" w:themeColor="text1"/>
        </w:rPr>
        <w:t>Salmonella</w:t>
      </w:r>
      <w:r w:rsidRPr="00224956">
        <w:rPr>
          <w:rFonts w:ascii="Garamond" w:hAnsi="Garamond"/>
          <w:color w:val="000000" w:themeColor="text1"/>
        </w:rPr>
        <w:t xml:space="preserve"> Tops List of 15 Most Costly Pathogens,” Food Safety News (Jan. 7, 2015), </w:t>
      </w:r>
      <w:hyperlink r:id="rId2" w:anchor=".WtZjA4jwaUk" w:history="1">
        <w:r w:rsidRPr="00224956">
          <w:rPr>
            <w:rStyle w:val="Hyperlink"/>
            <w:rFonts w:ascii="Garamond" w:hAnsi="Garamond"/>
            <w:color w:val="000000" w:themeColor="text1"/>
          </w:rPr>
          <w:t>http://www.foodsafetynews.com/2015/01/salmonella-costs-the-us-3-7-billion-per-year-among-other-costly-pathogens/#.WtZjA4jwaUk</w:t>
        </w:r>
      </w:hyperlink>
      <w:r w:rsidRPr="00224956">
        <w:rPr>
          <w:rFonts w:ascii="Garamond" w:hAnsi="Garamond"/>
          <w:color w:val="000000" w:themeColor="text1"/>
        </w:rPr>
        <w:t xml:space="preserve">   </w:t>
      </w:r>
    </w:p>
  </w:footnote>
  <w:footnote w:id="3">
    <w:p w14:paraId="6E0571EF" w14:textId="19644AEE" w:rsidR="000B562F" w:rsidRPr="00224956" w:rsidRDefault="000B562F">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0078203C" w:rsidRPr="00224956">
        <w:rPr>
          <w:rFonts w:ascii="Garamond" w:hAnsi="Garamond"/>
          <w:color w:val="000000" w:themeColor="text1"/>
        </w:rPr>
        <w:t xml:space="preserve">The Interagency Food Safety Analytics Collaboration (IFSAC), </w:t>
      </w:r>
      <w:r w:rsidRPr="0068209F">
        <w:rPr>
          <w:rFonts w:ascii="Garamond" w:hAnsi="Garamond"/>
          <w:color w:val="000000" w:themeColor="text1"/>
        </w:rPr>
        <w:t xml:space="preserve">Foodborne illness source attribution estimates for 2019 for </w:t>
      </w:r>
      <w:r w:rsidRPr="0068209F">
        <w:rPr>
          <w:rFonts w:ascii="Garamond" w:hAnsi="Garamond"/>
          <w:i/>
          <w:iCs/>
          <w:color w:val="000000" w:themeColor="text1"/>
        </w:rPr>
        <w:t>Salmonella</w:t>
      </w:r>
      <w:r w:rsidRPr="0068209F">
        <w:rPr>
          <w:rFonts w:ascii="Garamond" w:hAnsi="Garamond"/>
          <w:color w:val="000000" w:themeColor="text1"/>
        </w:rPr>
        <w:t xml:space="preserve">, </w:t>
      </w:r>
      <w:r w:rsidRPr="0068209F">
        <w:rPr>
          <w:rFonts w:ascii="Garamond" w:hAnsi="Garamond"/>
          <w:i/>
          <w:iCs/>
          <w:color w:val="000000" w:themeColor="text1"/>
        </w:rPr>
        <w:t>Escherichia coli</w:t>
      </w:r>
      <w:r w:rsidRPr="0068209F">
        <w:rPr>
          <w:rFonts w:ascii="Garamond" w:hAnsi="Garamond"/>
          <w:color w:val="000000" w:themeColor="text1"/>
        </w:rPr>
        <w:t xml:space="preserve"> O157, </w:t>
      </w:r>
      <w:r w:rsidRPr="0068209F">
        <w:rPr>
          <w:rFonts w:ascii="Garamond" w:hAnsi="Garamond"/>
          <w:i/>
          <w:iCs/>
          <w:color w:val="000000" w:themeColor="text1"/>
        </w:rPr>
        <w:t>Listeria monocytogenes</w:t>
      </w:r>
      <w:r w:rsidRPr="0068209F">
        <w:rPr>
          <w:rFonts w:ascii="Garamond" w:hAnsi="Garamond"/>
          <w:color w:val="000000" w:themeColor="text1"/>
        </w:rPr>
        <w:t xml:space="preserve">, and </w:t>
      </w:r>
      <w:r w:rsidRPr="0068209F">
        <w:rPr>
          <w:rFonts w:ascii="Garamond" w:hAnsi="Garamond"/>
          <w:i/>
          <w:iCs/>
          <w:color w:val="000000" w:themeColor="text1"/>
        </w:rPr>
        <w:t>Campylobacter</w:t>
      </w:r>
      <w:r w:rsidRPr="0068209F">
        <w:rPr>
          <w:rFonts w:ascii="Garamond" w:hAnsi="Garamond"/>
          <w:color w:val="000000" w:themeColor="text1"/>
        </w:rPr>
        <w:t xml:space="preserve"> using multi-year outbreak surveillance data</w:t>
      </w:r>
      <w:r w:rsidR="0078203C" w:rsidRPr="00224956">
        <w:rPr>
          <w:rFonts w:ascii="Garamond" w:hAnsi="Garamond"/>
          <w:color w:val="000000" w:themeColor="text1"/>
        </w:rPr>
        <w:t>, United States</w:t>
      </w:r>
      <w:r w:rsidR="00B733D6" w:rsidRPr="00224956">
        <w:rPr>
          <w:rFonts w:ascii="Garamond" w:hAnsi="Garamond"/>
          <w:color w:val="000000" w:themeColor="text1"/>
        </w:rPr>
        <w:t xml:space="preserve"> (</w:t>
      </w:r>
      <w:r w:rsidR="0078203C" w:rsidRPr="00224956">
        <w:rPr>
          <w:rFonts w:ascii="Garamond" w:hAnsi="Garamond"/>
          <w:color w:val="000000" w:themeColor="text1"/>
        </w:rPr>
        <w:t>October</w:t>
      </w:r>
      <w:r w:rsidR="00F00266" w:rsidRPr="00224956">
        <w:rPr>
          <w:rFonts w:ascii="Garamond" w:hAnsi="Garamond"/>
          <w:color w:val="000000" w:themeColor="text1"/>
        </w:rPr>
        <w:t>,</w:t>
      </w:r>
      <w:r w:rsidR="0078203C" w:rsidRPr="00224956">
        <w:rPr>
          <w:rFonts w:ascii="Garamond" w:hAnsi="Garamond"/>
          <w:color w:val="000000" w:themeColor="text1"/>
        </w:rPr>
        <w:t xml:space="preserve"> 2021</w:t>
      </w:r>
      <w:r w:rsidR="00B733D6" w:rsidRPr="00224956">
        <w:rPr>
          <w:rFonts w:ascii="Garamond" w:hAnsi="Garamond"/>
          <w:color w:val="000000" w:themeColor="text1"/>
        </w:rPr>
        <w:t>)</w:t>
      </w:r>
      <w:r w:rsidR="0078203C" w:rsidRPr="00224956">
        <w:rPr>
          <w:rFonts w:ascii="Garamond" w:hAnsi="Garamond"/>
          <w:color w:val="000000" w:themeColor="text1"/>
        </w:rPr>
        <w:t xml:space="preserve">, </w:t>
      </w:r>
      <w:hyperlink r:id="rId3" w:history="1">
        <w:r w:rsidR="0078203C" w:rsidRPr="0068209F">
          <w:rPr>
            <w:rStyle w:val="Hyperlink"/>
            <w:rFonts w:ascii="Garamond" w:hAnsi="Garamond"/>
            <w:color w:val="000000" w:themeColor="text1"/>
          </w:rPr>
          <w:t>https://www.cdc.gov/foodsafety/ifsac/pdf/P19-2019-report-TriAgency-508.pdf</w:t>
        </w:r>
      </w:hyperlink>
    </w:p>
  </w:footnote>
  <w:footnote w:id="4">
    <w:p w14:paraId="362329A1" w14:textId="3B86B762" w:rsidR="00DE4AD3" w:rsidRPr="00224956" w:rsidRDefault="00DE4AD3" w:rsidP="00DE4AD3">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“Pathogen Reduction; Hazard Analysis and Critical Control Point Systems” [“PR/HACCP Rule”], 61 Fed. Reg.</w:t>
      </w:r>
    </w:p>
    <w:p w14:paraId="18287F96" w14:textId="19854C7D" w:rsidR="00DE4AD3" w:rsidRPr="00224956" w:rsidRDefault="00DE4AD3" w:rsidP="00DE4AD3">
      <w:pPr>
        <w:pStyle w:val="FootnoteText"/>
        <w:rPr>
          <w:rFonts w:ascii="Garamond" w:hAnsi="Garamond"/>
          <w:color w:val="000000" w:themeColor="text1"/>
        </w:rPr>
      </w:pPr>
      <w:r w:rsidRPr="00224956">
        <w:rPr>
          <w:rFonts w:ascii="Garamond" w:hAnsi="Garamond"/>
          <w:color w:val="000000" w:themeColor="text1"/>
        </w:rPr>
        <w:t xml:space="preserve">38805 (July 25, 1996), available at: </w:t>
      </w:r>
      <w:hyperlink r:id="rId4" w:history="1">
        <w:r w:rsidR="000C3B60" w:rsidRPr="00224956">
          <w:rPr>
            <w:rStyle w:val="Hyperlink"/>
            <w:rFonts w:ascii="Garamond" w:hAnsi="Garamond"/>
            <w:color w:val="000000" w:themeColor="text1"/>
          </w:rPr>
          <w:t>https://www.govinfo.gov/content/pkg/FR-1996-07-25/pdf/FR-1996-07-25.pdf</w:t>
        </w:r>
      </w:hyperlink>
    </w:p>
  </w:footnote>
  <w:footnote w:id="5">
    <w:p w14:paraId="125B24FE" w14:textId="3FA7ADE3" w:rsidR="008D3843" w:rsidRPr="00224956" w:rsidRDefault="008D3843">
      <w:pPr>
        <w:pStyle w:val="FootnoteText"/>
        <w:rPr>
          <w:rFonts w:ascii="Garamond" w:hAnsi="Garamond"/>
          <w:i/>
          <w:iCs/>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Pr="00224956">
        <w:rPr>
          <w:rFonts w:ascii="Garamond" w:hAnsi="Garamond"/>
          <w:i/>
          <w:iCs/>
          <w:color w:val="000000" w:themeColor="text1"/>
        </w:rPr>
        <w:t xml:space="preserve">Id. </w:t>
      </w:r>
    </w:p>
  </w:footnote>
  <w:footnote w:id="6">
    <w:p w14:paraId="59A13FBA" w14:textId="5676E7E6" w:rsidR="00DD76C9" w:rsidRPr="00224956" w:rsidRDefault="00DD76C9">
      <w:pPr>
        <w:pStyle w:val="FootnoteText"/>
        <w:rPr>
          <w:rFonts w:ascii="Garamond" w:hAnsi="Garamond"/>
          <w:i/>
          <w:iCs/>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Pr="00224956">
        <w:rPr>
          <w:rFonts w:ascii="Garamond" w:hAnsi="Garamond"/>
          <w:i/>
          <w:iCs/>
          <w:color w:val="000000" w:themeColor="text1"/>
        </w:rPr>
        <w:t xml:space="preserve">Id. </w:t>
      </w:r>
    </w:p>
  </w:footnote>
  <w:footnote w:id="7">
    <w:p w14:paraId="6896E9D6" w14:textId="1E73D2C6" w:rsidR="008912D6" w:rsidRPr="009A7F92" w:rsidRDefault="008912D6">
      <w:pPr>
        <w:pStyle w:val="FootnoteText"/>
      </w:pPr>
      <w:r w:rsidRPr="00224956">
        <w:rPr>
          <w:rStyle w:val="FootnoteReference"/>
          <w:rFonts w:ascii="Garamond" w:hAnsi="Garamond"/>
          <w:color w:val="000000" w:themeColor="text1"/>
        </w:rPr>
        <w:footnoteRef/>
      </w:r>
      <w:r w:rsidR="00DF54BE" w:rsidRPr="00224956">
        <w:rPr>
          <w:rFonts w:ascii="Garamond" w:hAnsi="Garamond"/>
          <w:color w:val="000000" w:themeColor="text1"/>
        </w:rPr>
        <w:t xml:space="preserve"> </w:t>
      </w:r>
      <w:r w:rsidR="00DF54BE" w:rsidRPr="00224956">
        <w:rPr>
          <w:rFonts w:ascii="Garamond" w:hAnsi="Garamond"/>
          <w:i/>
          <w:iCs/>
          <w:color w:val="000000" w:themeColor="text1"/>
        </w:rPr>
        <w:t>See, e.g.,</w:t>
      </w:r>
      <w:r w:rsidRPr="00224956">
        <w:rPr>
          <w:rFonts w:ascii="Garamond" w:hAnsi="Garamond"/>
          <w:color w:val="000000" w:themeColor="text1"/>
        </w:rPr>
        <w:t xml:space="preserve"> </w:t>
      </w:r>
      <w:r w:rsidR="007B601E" w:rsidRPr="00224956">
        <w:rPr>
          <w:rFonts w:ascii="Garamond" w:hAnsi="Garamond"/>
          <w:color w:val="000000" w:themeColor="text1"/>
        </w:rPr>
        <w:t xml:space="preserve">Rodriguez, G., Acuff, G., Castillo, A., Department of Animal Science, Texas A&amp;M University, Development of a Carcass Sanitizing Spraying System for Small and Very Small Slaughterhouses, </w:t>
      </w:r>
      <w:hyperlink r:id="rId5" w:history="1">
        <w:r w:rsidR="00DF54BE" w:rsidRPr="00224956">
          <w:rPr>
            <w:rStyle w:val="Hyperlink"/>
            <w:rFonts w:ascii="Garamond" w:hAnsi="Garamond"/>
            <w:color w:val="000000" w:themeColor="text1"/>
          </w:rPr>
          <w:t>https://www.fsis.usda.gov/sites/default/files/media_file/2020-09/Coop_Agree_09-2003.pdf</w:t>
        </w:r>
      </w:hyperlink>
      <w:r w:rsidR="00DF54BE" w:rsidRPr="00224956">
        <w:rPr>
          <w:rStyle w:val="Hyperlink"/>
          <w:rFonts w:ascii="Garamond" w:hAnsi="Garamond"/>
          <w:color w:val="000000" w:themeColor="text1"/>
          <w:u w:val="none"/>
        </w:rPr>
        <w:t xml:space="preserve">; Richard Mitchell, “Antimicrobial spraying is serious business,” </w:t>
      </w:r>
      <w:r w:rsidR="00DF54BE" w:rsidRPr="00224956">
        <w:rPr>
          <w:rStyle w:val="Hyperlink"/>
          <w:rFonts w:ascii="Garamond" w:hAnsi="Garamond"/>
          <w:i/>
          <w:iCs/>
          <w:color w:val="000000" w:themeColor="text1"/>
          <w:u w:val="none"/>
        </w:rPr>
        <w:t xml:space="preserve">The National Provisioner </w:t>
      </w:r>
      <w:r w:rsidR="00DF54BE" w:rsidRPr="00224956">
        <w:rPr>
          <w:rStyle w:val="Hyperlink"/>
          <w:rFonts w:ascii="Garamond" w:hAnsi="Garamond"/>
          <w:color w:val="000000" w:themeColor="text1"/>
          <w:u w:val="none"/>
        </w:rPr>
        <w:t xml:space="preserve">(Dec. 28, 2021), </w:t>
      </w:r>
      <w:hyperlink r:id="rId6" w:history="1">
        <w:r w:rsidR="007B601E" w:rsidRPr="00380D2A">
          <w:rPr>
            <w:rStyle w:val="Hyperlink"/>
            <w:rFonts w:ascii="Garamond" w:hAnsi="Garamond"/>
            <w:color w:val="000000" w:themeColor="text1"/>
          </w:rPr>
          <w:t>https://www.provisioneronline.com/articles/111916-antimicrobial-spraying-is-serious-business</w:t>
        </w:r>
      </w:hyperlink>
      <w:r w:rsidR="00DF54BE" w:rsidRPr="00224956">
        <w:rPr>
          <w:rFonts w:ascii="Garamond" w:hAnsi="Garamond"/>
          <w:color w:val="000000" w:themeColor="text1"/>
        </w:rPr>
        <w:t xml:space="preserve">. </w:t>
      </w:r>
      <w:r w:rsidR="009A7F92" w:rsidRPr="00224956">
        <w:rPr>
          <w:rFonts w:ascii="Garamond" w:hAnsi="Garamond"/>
          <w:color w:val="000000" w:themeColor="text1"/>
        </w:rPr>
        <w:t xml:space="preserve"> </w:t>
      </w:r>
    </w:p>
  </w:footnote>
  <w:footnote w:id="8">
    <w:p w14:paraId="54342200" w14:textId="254E7BC7" w:rsidR="00DF54BE" w:rsidRPr="00224956" w:rsidRDefault="00DF54BE">
      <w:pPr>
        <w:pStyle w:val="FootnoteText"/>
        <w:rPr>
          <w:rFonts w:ascii="Garamond" w:hAnsi="Garamond"/>
        </w:rPr>
      </w:pPr>
      <w:r w:rsidRPr="00224956">
        <w:rPr>
          <w:rStyle w:val="FootnoteReference"/>
          <w:rFonts w:ascii="Garamond" w:hAnsi="Garamond"/>
        </w:rPr>
        <w:footnoteRef/>
      </w:r>
      <w:r w:rsidRPr="00224956">
        <w:rPr>
          <w:rFonts w:ascii="Garamond" w:hAnsi="Garamond"/>
        </w:rPr>
        <w:t xml:space="preserve"> </w:t>
      </w:r>
      <w:r w:rsidRPr="00224956">
        <w:rPr>
          <w:rFonts w:ascii="Garamond" w:hAnsi="Garamond"/>
          <w:i/>
          <w:iCs/>
        </w:rPr>
        <w:t xml:space="preserve">See </w:t>
      </w:r>
      <w:r w:rsidR="00674D82">
        <w:rPr>
          <w:rFonts w:ascii="Garamond" w:hAnsi="Garamond"/>
        </w:rPr>
        <w:t xml:space="preserve">CFA Comments on Proposed Hog Slaughter Modernization rule (May 2, 2018), </w:t>
      </w:r>
      <w:hyperlink r:id="rId7" w:history="1">
        <w:r w:rsidR="00674D82" w:rsidRPr="00B8709A">
          <w:rPr>
            <w:rStyle w:val="Hyperlink"/>
            <w:rFonts w:ascii="Garamond" w:hAnsi="Garamond"/>
          </w:rPr>
          <w:t>https://consumerfed.org/testimonial/cfa-opposes-proposed-hog-slaughter-rule/</w:t>
        </w:r>
      </w:hyperlink>
      <w:r w:rsidR="00674D82">
        <w:rPr>
          <w:rFonts w:ascii="Garamond" w:hAnsi="Garamond"/>
        </w:rPr>
        <w:t xml:space="preserve"> </w:t>
      </w:r>
    </w:p>
  </w:footnote>
  <w:footnote w:id="9">
    <w:p w14:paraId="446241B1" w14:textId="318BCDD1" w:rsidR="00FD6FD9" w:rsidRPr="00224956" w:rsidRDefault="00FD6FD9" w:rsidP="00FD6FD9">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Williams et al. “</w:t>
      </w:r>
      <w:r w:rsidR="00602693" w:rsidRPr="00224956">
        <w:rPr>
          <w:rFonts w:ascii="Garamond" w:hAnsi="Garamond"/>
          <w:color w:val="000000" w:themeColor="text1"/>
        </w:rPr>
        <w:t xml:space="preserve">Changes in Salmonella Contamination in Meat and Poultry Since the Introduction of the Pathogen Reduction and Hazard Analysis and Critical Control Point Rule. </w:t>
      </w:r>
      <w:r w:rsidR="00602693" w:rsidRPr="00224956">
        <w:rPr>
          <w:rFonts w:ascii="Garamond" w:hAnsi="Garamond"/>
          <w:i/>
          <w:iCs/>
          <w:color w:val="000000" w:themeColor="text1"/>
        </w:rPr>
        <w:t>J Food Prot.</w:t>
      </w:r>
      <w:r w:rsidR="00602693" w:rsidRPr="00224956">
        <w:rPr>
          <w:rFonts w:ascii="Garamond" w:hAnsi="Garamond"/>
          <w:color w:val="000000" w:themeColor="text1"/>
        </w:rPr>
        <w:t xml:space="preserve"> 2020 Oct 1;83(10):1707-1717, p.1715. </w:t>
      </w:r>
      <w:hyperlink r:id="rId8" w:history="1">
        <w:r w:rsidR="00602693" w:rsidRPr="00224956">
          <w:rPr>
            <w:rStyle w:val="Hyperlink"/>
            <w:rFonts w:ascii="Garamond" w:hAnsi="Garamond"/>
          </w:rPr>
          <w:t>https://doi.org/10.4315/jfp-20-126</w:t>
        </w:r>
      </w:hyperlink>
      <w:r w:rsidR="00602693" w:rsidRPr="00224956">
        <w:rPr>
          <w:rFonts w:ascii="Garamond" w:hAnsi="Garamond"/>
          <w:color w:val="000000" w:themeColor="text1"/>
        </w:rPr>
        <w:t xml:space="preserve">.  </w:t>
      </w:r>
    </w:p>
  </w:footnote>
  <w:footnote w:id="10">
    <w:p w14:paraId="16897A9A" w14:textId="02C78C50" w:rsidR="00354916" w:rsidRPr="00224956" w:rsidRDefault="00354916">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Pr="00224956">
        <w:rPr>
          <w:rFonts w:ascii="Garamond" w:hAnsi="Garamond"/>
          <w:i/>
          <w:iCs/>
          <w:color w:val="000000" w:themeColor="text1"/>
        </w:rPr>
        <w:t xml:space="preserve">Id. </w:t>
      </w:r>
      <w:r w:rsidRPr="00224956">
        <w:rPr>
          <w:rFonts w:ascii="Garamond" w:hAnsi="Garamond"/>
          <w:color w:val="000000" w:themeColor="text1"/>
        </w:rPr>
        <w:t xml:space="preserve">at 1716. </w:t>
      </w:r>
    </w:p>
  </w:footnote>
  <w:footnote w:id="11">
    <w:p w14:paraId="1375A2F8" w14:textId="5E243370" w:rsidR="002B5912" w:rsidRPr="00224956" w:rsidRDefault="002B5912" w:rsidP="005A7D29">
      <w:pPr>
        <w:rPr>
          <w:rFonts w:ascii="Garamond" w:hAnsi="Garamond"/>
          <w:color w:val="000000" w:themeColor="text1"/>
          <w:sz w:val="20"/>
          <w:szCs w:val="20"/>
        </w:rPr>
      </w:pPr>
      <w:r w:rsidRPr="00224956">
        <w:rPr>
          <w:rStyle w:val="FootnoteReference"/>
          <w:rFonts w:ascii="Garamond" w:hAnsi="Garamond"/>
          <w:color w:val="000000" w:themeColor="text1"/>
          <w:sz w:val="20"/>
          <w:szCs w:val="20"/>
        </w:rPr>
        <w:footnoteRef/>
      </w:r>
      <w:r w:rsidRPr="00224956">
        <w:rPr>
          <w:rFonts w:ascii="Garamond" w:hAnsi="Garamond"/>
          <w:color w:val="000000" w:themeColor="text1"/>
          <w:sz w:val="20"/>
          <w:szCs w:val="20"/>
        </w:rPr>
        <w:t xml:space="preserve"> </w:t>
      </w:r>
      <w:r w:rsidR="005A7D29" w:rsidRPr="00224956">
        <w:rPr>
          <w:rFonts w:ascii="Garamond" w:hAnsi="Garamond"/>
          <w:color w:val="000000" w:themeColor="text1"/>
          <w:sz w:val="20"/>
          <w:szCs w:val="20"/>
        </w:rPr>
        <w:t xml:space="preserve">Changes to the </w:t>
      </w:r>
      <w:r w:rsidR="005A7D29" w:rsidRPr="0068209F">
        <w:rPr>
          <w:rFonts w:ascii="Garamond" w:hAnsi="Garamond"/>
          <w:i/>
          <w:iCs/>
          <w:color w:val="000000" w:themeColor="text1"/>
          <w:sz w:val="20"/>
          <w:szCs w:val="20"/>
        </w:rPr>
        <w:t>Salmonella</w:t>
      </w:r>
      <w:r w:rsidR="005A7D29" w:rsidRPr="00224956">
        <w:rPr>
          <w:rFonts w:ascii="Garamond" w:hAnsi="Garamond"/>
          <w:color w:val="000000" w:themeColor="text1"/>
          <w:sz w:val="20"/>
          <w:szCs w:val="20"/>
        </w:rPr>
        <w:t xml:space="preserve"> Verification Testing Program: Proposed Performance Standards for </w:t>
      </w:r>
      <w:r w:rsidR="005A7D29" w:rsidRPr="0068209F">
        <w:rPr>
          <w:rFonts w:ascii="Garamond" w:hAnsi="Garamond"/>
          <w:i/>
          <w:iCs/>
          <w:color w:val="000000" w:themeColor="text1"/>
          <w:sz w:val="20"/>
          <w:szCs w:val="20"/>
        </w:rPr>
        <w:t>Salmonella</w:t>
      </w:r>
      <w:r w:rsidR="005A7D29" w:rsidRPr="00224956">
        <w:rPr>
          <w:rFonts w:ascii="Garamond" w:hAnsi="Garamond"/>
          <w:color w:val="000000" w:themeColor="text1"/>
          <w:sz w:val="20"/>
          <w:szCs w:val="20"/>
        </w:rPr>
        <w:t xml:space="preserve"> in Raw Ground Beef and Beef Manufacturing Trimmings and Related Agency Verification Procedures, </w:t>
      </w:r>
      <w:r w:rsidR="00850262" w:rsidRPr="00224956">
        <w:rPr>
          <w:rFonts w:ascii="Garamond" w:hAnsi="Garamond"/>
          <w:i/>
          <w:iCs/>
          <w:color w:val="000000" w:themeColor="text1"/>
          <w:sz w:val="20"/>
          <w:szCs w:val="20"/>
        </w:rPr>
        <w:t>See</w:t>
      </w:r>
      <w:r w:rsidR="00850262" w:rsidRPr="00224956">
        <w:rPr>
          <w:rFonts w:ascii="Garamond" w:hAnsi="Garamond"/>
          <w:color w:val="000000" w:themeColor="text1"/>
          <w:sz w:val="20"/>
          <w:szCs w:val="20"/>
        </w:rPr>
        <w:t xml:space="preserve"> </w:t>
      </w:r>
      <w:hyperlink r:id="rId9" w:history="1">
        <w:r w:rsidR="00850262" w:rsidRPr="00224956">
          <w:rPr>
            <w:rStyle w:val="Hyperlink"/>
            <w:rFonts w:ascii="Garamond" w:hAnsi="Garamond"/>
            <w:color w:val="000000" w:themeColor="text1"/>
            <w:sz w:val="20"/>
            <w:szCs w:val="20"/>
          </w:rPr>
          <w:t>https://www.fsis.usda.gov/policy/federal-register-rulemaking/federal-register-notices/changes-salmonella-verification-testing</w:t>
        </w:r>
      </w:hyperlink>
      <w:r w:rsidRPr="00224956">
        <w:rPr>
          <w:rFonts w:ascii="Garamond" w:hAnsi="Garamond"/>
          <w:color w:val="000000" w:themeColor="text1"/>
          <w:sz w:val="20"/>
          <w:szCs w:val="20"/>
        </w:rPr>
        <w:t xml:space="preserve"> at 57691. </w:t>
      </w:r>
    </w:p>
  </w:footnote>
  <w:footnote w:id="12">
    <w:p w14:paraId="2AF63B59" w14:textId="2FD2C6DB" w:rsidR="002B5912" w:rsidRPr="00224956" w:rsidRDefault="002B5912" w:rsidP="002B5912">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proofErr w:type="spellStart"/>
      <w:r w:rsidRPr="00224956">
        <w:rPr>
          <w:rFonts w:ascii="Garamond" w:hAnsi="Garamond"/>
          <w:color w:val="000000" w:themeColor="text1"/>
        </w:rPr>
        <w:t>Ollinger</w:t>
      </w:r>
      <w:proofErr w:type="spellEnd"/>
      <w:r w:rsidR="00197ADD" w:rsidRPr="00224956">
        <w:rPr>
          <w:rFonts w:ascii="Garamond" w:hAnsi="Garamond"/>
          <w:color w:val="000000" w:themeColor="text1"/>
        </w:rPr>
        <w:t>, M.</w:t>
      </w:r>
      <w:r w:rsidRPr="00224956">
        <w:rPr>
          <w:rFonts w:ascii="Garamond" w:hAnsi="Garamond"/>
          <w:color w:val="000000" w:themeColor="text1"/>
        </w:rPr>
        <w:t xml:space="preserve">, </w:t>
      </w:r>
      <w:proofErr w:type="spellStart"/>
      <w:r w:rsidRPr="00224956">
        <w:rPr>
          <w:rFonts w:ascii="Garamond" w:hAnsi="Garamond"/>
          <w:color w:val="000000" w:themeColor="text1"/>
        </w:rPr>
        <w:t>Wilkus</w:t>
      </w:r>
      <w:proofErr w:type="spellEnd"/>
      <w:r w:rsidR="00197ADD" w:rsidRPr="00224956">
        <w:rPr>
          <w:rFonts w:ascii="Garamond" w:hAnsi="Garamond"/>
          <w:color w:val="000000" w:themeColor="text1"/>
        </w:rPr>
        <w:t>, J.</w:t>
      </w:r>
      <w:r w:rsidRPr="00224956">
        <w:rPr>
          <w:rFonts w:ascii="Garamond" w:hAnsi="Garamond"/>
          <w:color w:val="000000" w:themeColor="text1"/>
        </w:rPr>
        <w:t xml:space="preserve">, </w:t>
      </w:r>
      <w:proofErr w:type="spellStart"/>
      <w:r w:rsidRPr="00224956">
        <w:rPr>
          <w:rFonts w:ascii="Garamond" w:hAnsi="Garamond"/>
          <w:color w:val="000000" w:themeColor="text1"/>
        </w:rPr>
        <w:t>Hrdlicka</w:t>
      </w:r>
      <w:proofErr w:type="spellEnd"/>
      <w:r w:rsidR="00197ADD" w:rsidRPr="00224956">
        <w:rPr>
          <w:rFonts w:ascii="Garamond" w:hAnsi="Garamond"/>
          <w:color w:val="000000" w:themeColor="text1"/>
        </w:rPr>
        <w:t>, M.</w:t>
      </w:r>
      <w:r w:rsidRPr="00224956">
        <w:rPr>
          <w:rFonts w:ascii="Garamond" w:hAnsi="Garamond"/>
          <w:color w:val="000000" w:themeColor="text1"/>
        </w:rPr>
        <w:t xml:space="preserve">, and </w:t>
      </w:r>
      <w:proofErr w:type="spellStart"/>
      <w:r w:rsidRPr="00224956">
        <w:rPr>
          <w:rFonts w:ascii="Garamond" w:hAnsi="Garamond"/>
          <w:color w:val="000000" w:themeColor="text1"/>
        </w:rPr>
        <w:t>Bovay</w:t>
      </w:r>
      <w:proofErr w:type="spellEnd"/>
      <w:r w:rsidR="00197ADD" w:rsidRPr="00224956">
        <w:rPr>
          <w:rFonts w:ascii="Garamond" w:hAnsi="Garamond"/>
          <w:color w:val="000000" w:themeColor="text1"/>
        </w:rPr>
        <w:t>, J</w:t>
      </w:r>
      <w:r w:rsidRPr="00224956">
        <w:rPr>
          <w:rFonts w:ascii="Garamond" w:hAnsi="Garamond"/>
          <w:color w:val="000000" w:themeColor="text1"/>
        </w:rPr>
        <w:t xml:space="preserve">. “Public Disclosure of Tests for </w:t>
      </w:r>
      <w:r w:rsidRPr="0068209F">
        <w:rPr>
          <w:rFonts w:ascii="Garamond" w:hAnsi="Garamond"/>
          <w:i/>
          <w:iCs/>
          <w:color w:val="000000" w:themeColor="text1"/>
        </w:rPr>
        <w:t>Salmonella</w:t>
      </w:r>
      <w:r w:rsidRPr="00224956">
        <w:rPr>
          <w:rFonts w:ascii="Garamond" w:hAnsi="Garamond"/>
          <w:color w:val="000000" w:themeColor="text1"/>
        </w:rPr>
        <w:t>: The</w:t>
      </w:r>
    </w:p>
    <w:p w14:paraId="4B358914" w14:textId="7C0A9B70" w:rsidR="002B5912" w:rsidRPr="00224956" w:rsidRDefault="002B5912" w:rsidP="002B5912">
      <w:pPr>
        <w:pStyle w:val="FootnoteText"/>
        <w:rPr>
          <w:rFonts w:ascii="Garamond" w:hAnsi="Garamond"/>
          <w:color w:val="000000" w:themeColor="text1"/>
        </w:rPr>
      </w:pPr>
      <w:r w:rsidRPr="00224956">
        <w:rPr>
          <w:rFonts w:ascii="Garamond" w:hAnsi="Garamond"/>
          <w:color w:val="000000" w:themeColor="text1"/>
        </w:rPr>
        <w:t>Effects on Food Safety Performance in Chicken Slaughter Establishments.” Economic Research Report No. (ERR-231), (</w:t>
      </w:r>
      <w:proofErr w:type="gramStart"/>
      <w:r w:rsidRPr="00224956">
        <w:rPr>
          <w:rFonts w:ascii="Garamond" w:hAnsi="Garamond"/>
          <w:color w:val="000000" w:themeColor="text1"/>
        </w:rPr>
        <w:t>May</w:t>
      </w:r>
      <w:r w:rsidR="00F00266" w:rsidRPr="00224956">
        <w:rPr>
          <w:rFonts w:ascii="Garamond" w:hAnsi="Garamond"/>
          <w:color w:val="000000" w:themeColor="text1"/>
        </w:rPr>
        <w:t>,</w:t>
      </w:r>
      <w:proofErr w:type="gramEnd"/>
      <w:r w:rsidRPr="00224956">
        <w:rPr>
          <w:rFonts w:ascii="Garamond" w:hAnsi="Garamond"/>
          <w:color w:val="000000" w:themeColor="text1"/>
        </w:rPr>
        <w:t xml:space="preserve"> 2017), </w:t>
      </w:r>
      <w:hyperlink r:id="rId10" w:history="1">
        <w:r w:rsidRPr="00224956">
          <w:rPr>
            <w:rStyle w:val="Hyperlink"/>
            <w:rFonts w:ascii="Garamond" w:hAnsi="Garamond"/>
            <w:color w:val="000000" w:themeColor="text1"/>
          </w:rPr>
          <w:t>https://www.ers.usda.gov/publications/pub-details/?pubid=83660</w:t>
        </w:r>
      </w:hyperlink>
      <w:r w:rsidRPr="00224956">
        <w:rPr>
          <w:rFonts w:ascii="Garamond" w:hAnsi="Garamond"/>
          <w:color w:val="000000" w:themeColor="text1"/>
        </w:rPr>
        <w:t xml:space="preserve"> </w:t>
      </w:r>
    </w:p>
  </w:footnote>
  <w:footnote w:id="13">
    <w:p w14:paraId="2EB46D04" w14:textId="4E73F604" w:rsidR="00073BFD" w:rsidRPr="0078203C" w:rsidRDefault="00073BFD">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0078203C" w:rsidRPr="00224956">
        <w:rPr>
          <w:rFonts w:ascii="Garamond" w:hAnsi="Garamond"/>
          <w:color w:val="000000" w:themeColor="text1"/>
        </w:rPr>
        <w:t xml:space="preserve">Risk Assessment and Analytics Staff, Office of Public Health Science, Food Safety and Inspection Service, U.S. Department of Agriculture, Public Health Effects of Performance Standards for Comminuted Pork and Pork Cuts, </w:t>
      </w:r>
      <w:r w:rsidR="00F00266" w:rsidRPr="00224956">
        <w:rPr>
          <w:rFonts w:ascii="Garamond" w:hAnsi="Garamond"/>
          <w:color w:val="000000" w:themeColor="text1"/>
        </w:rPr>
        <w:t>(</w:t>
      </w:r>
      <w:r w:rsidR="0078203C" w:rsidRPr="00224956">
        <w:rPr>
          <w:rFonts w:ascii="Garamond" w:hAnsi="Garamond"/>
          <w:color w:val="000000" w:themeColor="text1"/>
        </w:rPr>
        <w:t>April</w:t>
      </w:r>
      <w:r w:rsidR="00F00266" w:rsidRPr="00224956">
        <w:rPr>
          <w:rFonts w:ascii="Garamond" w:hAnsi="Garamond"/>
          <w:color w:val="000000" w:themeColor="text1"/>
        </w:rPr>
        <w:t>,</w:t>
      </w:r>
      <w:r w:rsidR="0078203C" w:rsidRPr="00224956">
        <w:rPr>
          <w:rFonts w:ascii="Garamond" w:hAnsi="Garamond"/>
          <w:color w:val="000000" w:themeColor="text1"/>
        </w:rPr>
        <w:t xml:space="preserve"> 2020</w:t>
      </w:r>
      <w:r w:rsidR="00F00266" w:rsidRPr="00224956">
        <w:rPr>
          <w:rFonts w:ascii="Garamond" w:hAnsi="Garamond"/>
          <w:color w:val="000000" w:themeColor="text1"/>
        </w:rPr>
        <w:t>)</w:t>
      </w:r>
      <w:r w:rsidR="0078203C" w:rsidRPr="00224956">
        <w:rPr>
          <w:rFonts w:ascii="Garamond" w:hAnsi="Garamond"/>
          <w:color w:val="000000" w:themeColor="text1"/>
        </w:rPr>
        <w:t xml:space="preserve">,  </w:t>
      </w:r>
      <w:hyperlink r:id="rId11" w:history="1">
        <w:r w:rsidR="0078203C" w:rsidRPr="0068209F">
          <w:rPr>
            <w:rStyle w:val="Hyperlink"/>
            <w:rFonts w:ascii="Garamond" w:hAnsi="Garamond"/>
            <w:color w:val="000000" w:themeColor="text1"/>
          </w:rPr>
          <w:t>https://www.fsis.usda.gov/sites/default/files/media_file/2022-02/Pork_Salmonella_Performance_Standards_Risk_Assessment_April_8_2020_Feb_8_2022.pdf</w:t>
        </w:r>
      </w:hyperlink>
      <w:r w:rsidRPr="00224956">
        <w:rPr>
          <w:rFonts w:ascii="Garamond" w:hAnsi="Garamond"/>
          <w:color w:val="000000" w:themeColor="text1"/>
        </w:rPr>
        <w:t xml:space="preserve"> </w:t>
      </w:r>
    </w:p>
  </w:footnote>
  <w:footnote w:id="14">
    <w:p w14:paraId="4E8A40EB" w14:textId="0FB77066" w:rsidR="00F81EF9" w:rsidRPr="00224956" w:rsidRDefault="00F81EF9">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As FSIS data indicates, a sizeable minority of poultry establishments are “category 3.” </w:t>
      </w:r>
      <w:r w:rsidRPr="00224956">
        <w:rPr>
          <w:rFonts w:ascii="Garamond" w:hAnsi="Garamond"/>
          <w:i/>
          <w:iCs/>
          <w:color w:val="000000" w:themeColor="text1"/>
        </w:rPr>
        <w:t xml:space="preserve">See </w:t>
      </w:r>
      <w:r w:rsidR="005A7D29" w:rsidRPr="00224956">
        <w:rPr>
          <w:rFonts w:ascii="Garamond" w:hAnsi="Garamond"/>
          <w:color w:val="000000" w:themeColor="text1"/>
        </w:rPr>
        <w:t xml:space="preserve">Performance Categorizations available at: </w:t>
      </w:r>
      <w:hyperlink r:id="rId12" w:history="1">
        <w:r w:rsidR="00451FCE" w:rsidRPr="0068209F">
          <w:rPr>
            <w:rStyle w:val="Hyperlink"/>
            <w:rFonts w:ascii="Garamond" w:hAnsi="Garamond"/>
            <w:color w:val="000000" w:themeColor="text1"/>
          </w:rPr>
          <w:t>https://www.fsis.usda.gov/science-data/data-sets-visualizations/microbiology/microbiological-testing-program-rte-meat-and-0</w:t>
        </w:r>
      </w:hyperlink>
      <w:r w:rsidRPr="0068209F">
        <w:rPr>
          <w:rFonts w:ascii="Garamond" w:hAnsi="Garamond"/>
          <w:color w:val="000000" w:themeColor="text1"/>
        </w:rPr>
        <w:t xml:space="preserve"> </w:t>
      </w:r>
    </w:p>
  </w:footnote>
  <w:footnote w:id="15">
    <w:p w14:paraId="2C701B09" w14:textId="7A1FE643" w:rsidR="00BB2D99" w:rsidRPr="00224956" w:rsidRDefault="00BB2D99">
      <w:pPr>
        <w:pStyle w:val="FootnoteText"/>
        <w:rPr>
          <w:rFonts w:ascii="Garamond" w:hAnsi="Garamond"/>
          <w:i/>
          <w:iCs/>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hyperlink r:id="rId13" w:history="1">
        <w:r w:rsidR="002136AB" w:rsidRPr="00224956">
          <w:rPr>
            <w:rStyle w:val="Hyperlink"/>
            <w:rFonts w:ascii="Garamond" w:hAnsi="Garamond"/>
            <w:i/>
            <w:iCs/>
            <w:color w:val="000000" w:themeColor="text1"/>
            <w:u w:val="none"/>
          </w:rPr>
          <w:t>Salmonella Typhimurium</w:t>
        </w:r>
      </w:hyperlink>
      <w:r w:rsidR="002136AB" w:rsidRPr="00224956">
        <w:rPr>
          <w:rFonts w:ascii="Garamond" w:hAnsi="Garamond"/>
          <w:color w:val="000000" w:themeColor="text1"/>
        </w:rPr>
        <w:t xml:space="preserve">, </w:t>
      </w:r>
      <w:hyperlink r:id="rId14" w:history="1">
        <w:r w:rsidR="002136AB" w:rsidRPr="00224956">
          <w:rPr>
            <w:rStyle w:val="Hyperlink"/>
            <w:rFonts w:ascii="Garamond" w:hAnsi="Garamond"/>
            <w:color w:val="000000" w:themeColor="text1"/>
          </w:rPr>
          <w:t>https://confluence.cornell.edu/display/FOODSAFETY/Salmonella+Typhimurium</w:t>
        </w:r>
      </w:hyperlink>
      <w:r w:rsidRPr="00224956">
        <w:rPr>
          <w:rFonts w:ascii="Garamond" w:hAnsi="Garamond"/>
          <w:color w:val="000000" w:themeColor="text1"/>
        </w:rPr>
        <w:t xml:space="preserve"> </w:t>
      </w:r>
    </w:p>
  </w:footnote>
  <w:footnote w:id="16">
    <w:p w14:paraId="0580D7EA" w14:textId="7B4E7849" w:rsidR="00013B47" w:rsidRDefault="00013B47">
      <w:pPr>
        <w:pStyle w:val="FootnoteText"/>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proofErr w:type="spellStart"/>
      <w:r w:rsidR="00422D17" w:rsidRPr="0068209F">
        <w:t>Enterisol</w:t>
      </w:r>
      <w:proofErr w:type="spellEnd"/>
      <w:r w:rsidR="00422D17" w:rsidRPr="0068209F">
        <w:t xml:space="preserve">® </w:t>
      </w:r>
      <w:r w:rsidR="00422D17" w:rsidRPr="0068209F">
        <w:rPr>
          <w:i/>
          <w:iCs/>
        </w:rPr>
        <w:t>Salmonella</w:t>
      </w:r>
      <w:r w:rsidR="00422D17" w:rsidRPr="0068209F">
        <w:t xml:space="preserve"> T/C | Boehringer Ingelheim </w:t>
      </w:r>
      <w:proofErr w:type="spellStart"/>
      <w:r w:rsidR="00422D17" w:rsidRPr="0068209F">
        <w:t>Vetmedica</w:t>
      </w:r>
      <w:proofErr w:type="spellEnd"/>
      <w:r w:rsidR="00422D17" w:rsidRPr="0068209F">
        <w:rPr>
          <w:rFonts w:ascii="Garamond" w:hAnsi="Garamond"/>
          <w:color w:val="000000" w:themeColor="text1"/>
        </w:rPr>
        <w:t xml:space="preserve">, </w:t>
      </w:r>
      <w:hyperlink r:id="rId15" w:history="1">
        <w:r w:rsidR="00422D17" w:rsidRPr="0068209F">
          <w:rPr>
            <w:rStyle w:val="Hyperlink"/>
            <w:rFonts w:ascii="Garamond" w:hAnsi="Garamond"/>
            <w:color w:val="000000" w:themeColor="text1"/>
          </w:rPr>
          <w:t>https://www.bi-vetmedica.com/species/swine/products/enterisol_salmonellatc.html</w:t>
        </w:r>
      </w:hyperlink>
    </w:p>
  </w:footnote>
  <w:footnote w:id="17">
    <w:p w14:paraId="5C1B59A7" w14:textId="61A8C5AF" w:rsidR="00FA1D83" w:rsidRPr="00224956" w:rsidRDefault="00FA1D83">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00BE5E71" w:rsidRPr="00224956">
        <w:rPr>
          <w:rFonts w:ascii="Garamond" w:hAnsi="Garamond"/>
          <w:color w:val="000000" w:themeColor="text1"/>
        </w:rPr>
        <w:t>McEntire</w:t>
      </w:r>
      <w:r w:rsidR="00197ADD" w:rsidRPr="00224956">
        <w:rPr>
          <w:rFonts w:ascii="Garamond" w:hAnsi="Garamond"/>
          <w:color w:val="000000" w:themeColor="text1"/>
        </w:rPr>
        <w:t xml:space="preserve">, J., Acheson, D., Siemens, A., </w:t>
      </w:r>
      <w:proofErr w:type="spellStart"/>
      <w:r w:rsidR="00197ADD" w:rsidRPr="00224956">
        <w:rPr>
          <w:rFonts w:ascii="Garamond" w:hAnsi="Garamond"/>
          <w:color w:val="000000" w:themeColor="text1"/>
        </w:rPr>
        <w:t>Eilert</w:t>
      </w:r>
      <w:proofErr w:type="spellEnd"/>
      <w:r w:rsidR="00197ADD" w:rsidRPr="00224956">
        <w:rPr>
          <w:rFonts w:ascii="Garamond" w:hAnsi="Garamond"/>
          <w:color w:val="000000" w:themeColor="text1"/>
        </w:rPr>
        <w:t xml:space="preserve">, S., and </w:t>
      </w:r>
      <w:proofErr w:type="spellStart"/>
      <w:r w:rsidR="00197ADD" w:rsidRPr="00224956">
        <w:rPr>
          <w:rFonts w:ascii="Garamond" w:hAnsi="Garamond"/>
          <w:color w:val="000000" w:themeColor="text1"/>
        </w:rPr>
        <w:t>Robach</w:t>
      </w:r>
      <w:proofErr w:type="spellEnd"/>
      <w:r w:rsidR="00197ADD" w:rsidRPr="00224956">
        <w:rPr>
          <w:rFonts w:ascii="Garamond" w:hAnsi="Garamond"/>
          <w:color w:val="000000" w:themeColor="text1"/>
        </w:rPr>
        <w:t>, M</w:t>
      </w:r>
      <w:r w:rsidR="00BE5E71" w:rsidRPr="00224956">
        <w:rPr>
          <w:rFonts w:ascii="Garamond" w:hAnsi="Garamond"/>
          <w:color w:val="000000" w:themeColor="text1"/>
        </w:rPr>
        <w:t xml:space="preserve">. </w:t>
      </w:r>
      <w:r w:rsidR="00706C9E" w:rsidRPr="00224956">
        <w:rPr>
          <w:rFonts w:ascii="Garamond" w:hAnsi="Garamond"/>
          <w:color w:val="000000" w:themeColor="text1"/>
        </w:rPr>
        <w:t xml:space="preserve">The Public Health Value of Reducing </w:t>
      </w:r>
      <w:r w:rsidR="00706C9E" w:rsidRPr="00224956">
        <w:rPr>
          <w:rFonts w:ascii="Garamond" w:hAnsi="Garamond"/>
          <w:i/>
          <w:iCs/>
          <w:color w:val="000000" w:themeColor="text1"/>
        </w:rPr>
        <w:t>Salmonella</w:t>
      </w:r>
      <w:r w:rsidR="00706C9E" w:rsidRPr="00224956">
        <w:rPr>
          <w:rFonts w:ascii="Garamond" w:hAnsi="Garamond"/>
          <w:color w:val="000000" w:themeColor="text1"/>
        </w:rPr>
        <w:t xml:space="preserve"> Levels in Raw Meat and Poultry, </w:t>
      </w:r>
      <w:r w:rsidR="00BE5E71" w:rsidRPr="00224956">
        <w:rPr>
          <w:rFonts w:ascii="Garamond" w:hAnsi="Garamond"/>
          <w:color w:val="000000" w:themeColor="text1"/>
        </w:rPr>
        <w:t xml:space="preserve">Food Protection Trends, Vol 34, No. 6, p.386-392, </w:t>
      </w:r>
      <w:r w:rsidR="00F00266" w:rsidRPr="00224956">
        <w:rPr>
          <w:rFonts w:ascii="Garamond" w:hAnsi="Garamond"/>
          <w:color w:val="000000" w:themeColor="text1"/>
        </w:rPr>
        <w:t xml:space="preserve">(Nov/Dec, 2014), </w:t>
      </w:r>
      <w:r w:rsidR="00BE5E71" w:rsidRPr="00224956">
        <w:rPr>
          <w:rFonts w:ascii="Garamond" w:hAnsi="Garamond"/>
          <w:color w:val="000000" w:themeColor="text1"/>
        </w:rPr>
        <w:t xml:space="preserve">available at: </w:t>
      </w:r>
      <w:hyperlink r:id="rId16" w:history="1">
        <w:r w:rsidR="002136AB" w:rsidRPr="0068209F">
          <w:rPr>
            <w:rStyle w:val="Hyperlink"/>
            <w:rFonts w:ascii="Garamond" w:hAnsi="Garamond"/>
            <w:color w:val="000000" w:themeColor="text1"/>
          </w:rPr>
          <w:t>https://www.foodprotection.org/files/food-protection-trends/NovDec-14-McEntire.pdf</w:t>
        </w:r>
      </w:hyperlink>
      <w:r w:rsidRPr="00224956">
        <w:rPr>
          <w:rFonts w:ascii="Garamond" w:hAnsi="Garamond"/>
          <w:color w:val="000000" w:themeColor="text1"/>
        </w:rPr>
        <w:t xml:space="preserve"> </w:t>
      </w:r>
    </w:p>
  </w:footnote>
  <w:footnote w:id="18">
    <w:p w14:paraId="0F145FF0" w14:textId="22B4B307" w:rsidR="00FA1D83" w:rsidRPr="00224956" w:rsidRDefault="00FA1D83">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proofErr w:type="spellStart"/>
      <w:r w:rsidR="002E4087" w:rsidRPr="00224956">
        <w:rPr>
          <w:rFonts w:ascii="Garamond" w:hAnsi="Garamond"/>
          <w:color w:val="000000" w:themeColor="text1"/>
        </w:rPr>
        <w:t>Haumaru</w:t>
      </w:r>
      <w:proofErr w:type="spellEnd"/>
      <w:r w:rsidR="002E4087" w:rsidRPr="00224956">
        <w:rPr>
          <w:rFonts w:ascii="Garamond" w:hAnsi="Garamond"/>
          <w:color w:val="000000" w:themeColor="text1"/>
        </w:rPr>
        <w:t xml:space="preserve"> Kai Aotearoa, New Zealand Food Safety, </w:t>
      </w:r>
      <w:r w:rsidR="00706C9E" w:rsidRPr="00224956">
        <w:rPr>
          <w:rFonts w:ascii="Garamond" w:hAnsi="Garamond"/>
          <w:color w:val="000000" w:themeColor="text1"/>
        </w:rPr>
        <w:t xml:space="preserve">Review of the </w:t>
      </w:r>
      <w:r w:rsidR="00706C9E" w:rsidRPr="00224956">
        <w:rPr>
          <w:rFonts w:ascii="Garamond" w:hAnsi="Garamond"/>
          <w:i/>
          <w:iCs/>
          <w:color w:val="000000" w:themeColor="text1"/>
        </w:rPr>
        <w:t>Campylobacter</w:t>
      </w:r>
      <w:r w:rsidR="00706C9E" w:rsidRPr="00224956">
        <w:rPr>
          <w:rFonts w:ascii="Garamond" w:hAnsi="Garamond"/>
          <w:color w:val="000000" w:themeColor="text1"/>
        </w:rPr>
        <w:t xml:space="preserve"> Regulatory Limits for Meat Chickens</w:t>
      </w:r>
      <w:r w:rsidR="00B733D6" w:rsidRPr="00224956">
        <w:rPr>
          <w:rFonts w:ascii="Garamond" w:hAnsi="Garamond"/>
          <w:color w:val="000000" w:themeColor="text1"/>
        </w:rPr>
        <w:t xml:space="preserve"> (</w:t>
      </w:r>
      <w:r w:rsidR="002E4087" w:rsidRPr="00224956">
        <w:rPr>
          <w:rFonts w:ascii="Garamond" w:hAnsi="Garamond"/>
          <w:color w:val="000000" w:themeColor="text1"/>
        </w:rPr>
        <w:t>June</w:t>
      </w:r>
      <w:r w:rsidR="00F00266" w:rsidRPr="00224956">
        <w:rPr>
          <w:rFonts w:ascii="Garamond" w:hAnsi="Garamond"/>
          <w:color w:val="000000" w:themeColor="text1"/>
        </w:rPr>
        <w:t>,</w:t>
      </w:r>
      <w:r w:rsidR="002E4087" w:rsidRPr="00224956">
        <w:rPr>
          <w:rFonts w:ascii="Garamond" w:hAnsi="Garamond"/>
          <w:color w:val="000000" w:themeColor="text1"/>
        </w:rPr>
        <w:t xml:space="preserve"> 2019</w:t>
      </w:r>
      <w:r w:rsidR="00B733D6" w:rsidRPr="00224956">
        <w:rPr>
          <w:rFonts w:ascii="Garamond" w:hAnsi="Garamond"/>
          <w:color w:val="000000" w:themeColor="text1"/>
        </w:rPr>
        <w:t>)</w:t>
      </w:r>
      <w:r w:rsidR="002E4087" w:rsidRPr="00224956">
        <w:rPr>
          <w:rFonts w:ascii="Garamond" w:hAnsi="Garamond"/>
          <w:color w:val="000000" w:themeColor="text1"/>
        </w:rPr>
        <w:t xml:space="preserve">, </w:t>
      </w:r>
      <w:hyperlink r:id="rId17" w:history="1">
        <w:r w:rsidR="002E4087" w:rsidRPr="0068209F">
          <w:rPr>
            <w:rStyle w:val="Hyperlink"/>
            <w:rFonts w:ascii="Garamond" w:hAnsi="Garamond"/>
            <w:color w:val="000000" w:themeColor="text1"/>
          </w:rPr>
          <w:t>https://www.mpi.govt.nz/dmsdocument/35265-discussion-paper-review-of-the-campylobacter-regulatory-limits-for-meat-chickens-pdf</w:t>
        </w:r>
      </w:hyperlink>
      <w:r w:rsidRPr="00224956">
        <w:rPr>
          <w:rFonts w:ascii="Garamond" w:hAnsi="Garamond"/>
          <w:color w:val="000000" w:themeColor="text1"/>
        </w:rPr>
        <w:t xml:space="preserve"> </w:t>
      </w:r>
    </w:p>
  </w:footnote>
  <w:footnote w:id="19">
    <w:p w14:paraId="4B186093" w14:textId="0944CEF7" w:rsidR="00097EAB" w:rsidRPr="00224956" w:rsidRDefault="00097EAB" w:rsidP="007A7F5C">
      <w:pPr>
        <w:rPr>
          <w:rFonts w:ascii="Garamond" w:hAnsi="Garamond"/>
          <w:color w:val="000000" w:themeColor="text1"/>
          <w:sz w:val="20"/>
          <w:szCs w:val="20"/>
        </w:rPr>
      </w:pPr>
      <w:r w:rsidRPr="00224956">
        <w:rPr>
          <w:rStyle w:val="FootnoteReference"/>
          <w:rFonts w:ascii="Garamond" w:hAnsi="Garamond"/>
          <w:color w:val="000000" w:themeColor="text1"/>
          <w:sz w:val="20"/>
          <w:szCs w:val="20"/>
        </w:rPr>
        <w:footnoteRef/>
      </w:r>
      <w:r w:rsidRPr="00224956">
        <w:rPr>
          <w:rFonts w:ascii="Garamond" w:hAnsi="Garamond"/>
          <w:color w:val="000000" w:themeColor="text1"/>
          <w:sz w:val="20"/>
          <w:szCs w:val="20"/>
        </w:rPr>
        <w:t xml:space="preserve"> </w:t>
      </w:r>
      <w:r w:rsidR="007A7F5C" w:rsidRPr="00224956">
        <w:rPr>
          <w:rFonts w:ascii="Garamond" w:hAnsi="Garamond"/>
          <w:color w:val="000000" w:themeColor="text1"/>
          <w:sz w:val="20"/>
          <w:szCs w:val="20"/>
        </w:rPr>
        <w:t xml:space="preserve">Hyeon, J., Mann, D.A., Wang, J., Kim, W.K., Deng, X. </w:t>
      </w:r>
      <w:r w:rsidR="007A7F5C" w:rsidRPr="00224956">
        <w:rPr>
          <w:rFonts w:ascii="Garamond" w:hAnsi="Garamond"/>
          <w:color w:val="000000" w:themeColor="text1"/>
          <w:kern w:val="36"/>
          <w:sz w:val="20"/>
          <w:szCs w:val="20"/>
        </w:rPr>
        <w:t>Rapid detection of </w:t>
      </w:r>
      <w:r w:rsidR="007A7F5C" w:rsidRPr="00224956">
        <w:rPr>
          <w:rFonts w:ascii="Garamond" w:hAnsi="Garamond"/>
          <w:i/>
          <w:iCs/>
          <w:color w:val="000000" w:themeColor="text1"/>
          <w:kern w:val="36"/>
          <w:sz w:val="20"/>
          <w:szCs w:val="20"/>
        </w:rPr>
        <w:t>Salmonella</w:t>
      </w:r>
      <w:r w:rsidR="007A7F5C" w:rsidRPr="00224956">
        <w:rPr>
          <w:rFonts w:ascii="Garamond" w:hAnsi="Garamond"/>
          <w:color w:val="000000" w:themeColor="text1"/>
          <w:kern w:val="36"/>
          <w:sz w:val="20"/>
          <w:szCs w:val="20"/>
        </w:rPr>
        <w:t xml:space="preserve"> in poultry environmental samples using real-time PCR coupled with immunomagnetic separation and whole genome amplification. </w:t>
      </w:r>
      <w:hyperlink r:id="rId18" w:tooltip="Go to table of contents for this volume/issue" w:history="1">
        <w:r w:rsidR="007A7F5C" w:rsidRPr="00224956">
          <w:rPr>
            <w:rFonts w:ascii="Garamond" w:hAnsi="Garamond" w:cs="Arial"/>
            <w:color w:val="000000" w:themeColor="text1"/>
            <w:sz w:val="20"/>
            <w:szCs w:val="20"/>
          </w:rPr>
          <w:t>Vol 98, Issue 12</w:t>
        </w:r>
      </w:hyperlink>
      <w:r w:rsidR="007A7F5C" w:rsidRPr="00224956">
        <w:rPr>
          <w:rFonts w:ascii="Garamond" w:hAnsi="Garamond" w:cs="Arial"/>
          <w:color w:val="000000" w:themeColor="text1"/>
          <w:sz w:val="20"/>
          <w:szCs w:val="20"/>
        </w:rPr>
        <w:t>, </w:t>
      </w:r>
      <w:r w:rsidR="00B733D6" w:rsidRPr="00224956">
        <w:rPr>
          <w:rFonts w:ascii="Garamond" w:hAnsi="Garamond" w:cs="Arial"/>
          <w:color w:val="000000" w:themeColor="text1"/>
          <w:sz w:val="20"/>
          <w:szCs w:val="20"/>
        </w:rPr>
        <w:t>(</w:t>
      </w:r>
      <w:proofErr w:type="gramStart"/>
      <w:r w:rsidR="007A7F5C" w:rsidRPr="00224956">
        <w:rPr>
          <w:rFonts w:ascii="Garamond" w:hAnsi="Garamond" w:cs="Arial"/>
          <w:color w:val="000000" w:themeColor="text1"/>
          <w:sz w:val="20"/>
          <w:szCs w:val="20"/>
        </w:rPr>
        <w:t>December</w:t>
      </w:r>
      <w:r w:rsidR="00F00266" w:rsidRPr="00224956">
        <w:rPr>
          <w:rFonts w:ascii="Garamond" w:hAnsi="Garamond" w:cs="Arial"/>
          <w:color w:val="000000" w:themeColor="text1"/>
          <w:sz w:val="20"/>
          <w:szCs w:val="20"/>
        </w:rPr>
        <w:t>,</w:t>
      </w:r>
      <w:proofErr w:type="gramEnd"/>
      <w:r w:rsidR="007A7F5C" w:rsidRPr="00224956">
        <w:rPr>
          <w:rFonts w:ascii="Garamond" w:hAnsi="Garamond" w:cs="Arial"/>
          <w:color w:val="000000" w:themeColor="text1"/>
          <w:sz w:val="20"/>
          <w:szCs w:val="20"/>
        </w:rPr>
        <w:t xml:space="preserve"> 2019), Page 6973-6979. </w:t>
      </w:r>
      <w:hyperlink r:id="rId19" w:history="1">
        <w:r w:rsidR="007A7F5C" w:rsidRPr="00224956">
          <w:rPr>
            <w:rStyle w:val="Hyperlink"/>
            <w:rFonts w:ascii="Garamond" w:hAnsi="Garamond"/>
            <w:color w:val="000000" w:themeColor="text1"/>
            <w:sz w:val="20"/>
            <w:szCs w:val="20"/>
          </w:rPr>
          <w:t>https://www.sciencedirect.com/science/article/pii/S0032579119580087</w:t>
        </w:r>
      </w:hyperlink>
      <w:r w:rsidRPr="00224956">
        <w:rPr>
          <w:rFonts w:ascii="Garamond" w:hAnsi="Garamond"/>
          <w:color w:val="000000" w:themeColor="text1"/>
          <w:sz w:val="20"/>
          <w:szCs w:val="20"/>
        </w:rPr>
        <w:t xml:space="preserve"> </w:t>
      </w:r>
    </w:p>
  </w:footnote>
  <w:footnote w:id="20">
    <w:p w14:paraId="0156ECA1" w14:textId="20067B90" w:rsidR="00E31C06" w:rsidRPr="00224956" w:rsidRDefault="00E31C06">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hyperlink r:id="rId20" w:history="1">
        <w:r w:rsidRPr="00224956">
          <w:rPr>
            <w:rStyle w:val="Hyperlink"/>
            <w:rFonts w:ascii="Garamond" w:hAnsi="Garamond"/>
            <w:color w:val="000000" w:themeColor="text1"/>
          </w:rPr>
          <w:t>https://www.fsis.usda.gov/sites/default/files/media_file/2020-07/6420.2.pdf</w:t>
        </w:r>
      </w:hyperlink>
      <w:r w:rsidRPr="00224956">
        <w:rPr>
          <w:rFonts w:ascii="Garamond" w:hAnsi="Garamond"/>
          <w:color w:val="000000" w:themeColor="text1"/>
        </w:rPr>
        <w:t xml:space="preserve"> </w:t>
      </w:r>
    </w:p>
  </w:footnote>
  <w:footnote w:id="21">
    <w:p w14:paraId="57EB4E69" w14:textId="20E458F3" w:rsidR="000B2211" w:rsidRPr="00224956" w:rsidRDefault="000B2211">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9 CFR 310.18(a).</w:t>
      </w:r>
    </w:p>
  </w:footnote>
  <w:footnote w:id="22">
    <w:p w14:paraId="1682AA52" w14:textId="09C152D2" w:rsidR="00E676B7" w:rsidRPr="00224956" w:rsidRDefault="00B42B0C" w:rsidP="00E676B7">
      <w:pPr>
        <w:pStyle w:val="FootnoteText"/>
        <w:rPr>
          <w:rFonts w:ascii="Garamond" w:hAnsi="Garamond"/>
          <w:color w:val="000000" w:themeColor="text1"/>
        </w:rPr>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r w:rsidR="00E676B7" w:rsidRPr="00AC37D7">
        <w:rPr>
          <w:rFonts w:ascii="Garamond" w:hAnsi="Garamond"/>
          <w:i/>
          <w:iCs/>
          <w:color w:val="000000" w:themeColor="text1"/>
        </w:rPr>
        <w:t>See</w:t>
      </w:r>
      <w:r w:rsidR="00E676B7" w:rsidRPr="00224956">
        <w:rPr>
          <w:rFonts w:ascii="Garamond" w:hAnsi="Garamond"/>
          <w:color w:val="000000" w:themeColor="text1"/>
        </w:rPr>
        <w:t xml:space="preserve"> Baer et al. “Pathogens of Interest to the Pork Industry: A Review of Research on Interventions to Assure Food Safety,” Comprehensive Reviews in Food Science and Food Safety Volume 12, Issue 2 (March 2013),</w:t>
      </w:r>
    </w:p>
    <w:p w14:paraId="47335D59" w14:textId="6EF272E9" w:rsidR="00B42B0C" w:rsidRPr="00224956" w:rsidRDefault="006352A6" w:rsidP="00E676B7">
      <w:pPr>
        <w:pStyle w:val="FootnoteText"/>
        <w:rPr>
          <w:rFonts w:ascii="Garamond" w:hAnsi="Garamond"/>
          <w:color w:val="000000" w:themeColor="text1"/>
        </w:rPr>
      </w:pPr>
      <w:hyperlink r:id="rId21" w:history="1">
        <w:r w:rsidR="00E676B7" w:rsidRPr="00224956">
          <w:rPr>
            <w:rStyle w:val="Hyperlink"/>
            <w:rFonts w:ascii="Garamond" w:hAnsi="Garamond"/>
            <w:color w:val="000000" w:themeColor="text1"/>
          </w:rPr>
          <w:t>https://onlinelibrary.wiley.com/doi/full/10.1111/1541-4337.12001</w:t>
        </w:r>
      </w:hyperlink>
      <w:r w:rsidR="00E676B7" w:rsidRPr="00224956">
        <w:rPr>
          <w:rFonts w:ascii="Garamond" w:hAnsi="Garamond"/>
          <w:color w:val="000000" w:themeColor="text1"/>
        </w:rPr>
        <w:t>.</w:t>
      </w:r>
    </w:p>
  </w:footnote>
  <w:footnote w:id="23">
    <w:p w14:paraId="6760ECB6" w14:textId="48058FE5" w:rsidR="00943C50" w:rsidRDefault="00943C50">
      <w:pPr>
        <w:pStyle w:val="FootnoteText"/>
      </w:pPr>
      <w:r w:rsidRPr="00224956">
        <w:rPr>
          <w:rStyle w:val="FootnoteReference"/>
          <w:rFonts w:ascii="Garamond" w:hAnsi="Garamond"/>
          <w:color w:val="000000" w:themeColor="text1"/>
        </w:rPr>
        <w:footnoteRef/>
      </w:r>
      <w:r w:rsidRPr="00224956">
        <w:rPr>
          <w:rFonts w:ascii="Garamond" w:hAnsi="Garamond"/>
          <w:color w:val="000000" w:themeColor="text1"/>
        </w:rPr>
        <w:t xml:space="preserve"> </w:t>
      </w:r>
      <w:proofErr w:type="spellStart"/>
      <w:r w:rsidRPr="00224956">
        <w:rPr>
          <w:rFonts w:ascii="Garamond" w:hAnsi="Garamond"/>
          <w:color w:val="000000" w:themeColor="text1"/>
        </w:rPr>
        <w:t>Gorji</w:t>
      </w:r>
      <w:proofErr w:type="spellEnd"/>
      <w:r w:rsidRPr="00224956">
        <w:rPr>
          <w:rFonts w:ascii="Garamond" w:hAnsi="Garamond"/>
          <w:color w:val="000000" w:themeColor="text1"/>
        </w:rPr>
        <w:t xml:space="preserve">, H.T., </w:t>
      </w:r>
      <w:proofErr w:type="spellStart"/>
      <w:r w:rsidRPr="00224956">
        <w:rPr>
          <w:rFonts w:ascii="Garamond" w:hAnsi="Garamond"/>
          <w:color w:val="000000" w:themeColor="text1"/>
        </w:rPr>
        <w:t>Shahabi</w:t>
      </w:r>
      <w:proofErr w:type="spellEnd"/>
      <w:r w:rsidRPr="00224956">
        <w:rPr>
          <w:rFonts w:ascii="Garamond" w:hAnsi="Garamond"/>
          <w:color w:val="000000" w:themeColor="text1"/>
        </w:rPr>
        <w:t xml:space="preserve">, S.M., Sharma, A. et al. Combining deep learning and fluorescence imaging to automatically identify fecal contamination on meat carcasses. Sci Rep 12, 2392 (2022). </w:t>
      </w:r>
      <w:hyperlink r:id="rId22" w:history="1">
        <w:r w:rsidRPr="00224956">
          <w:rPr>
            <w:rStyle w:val="Hyperlink"/>
            <w:rFonts w:ascii="Garamond" w:hAnsi="Garamond"/>
            <w:color w:val="000000" w:themeColor="text1"/>
          </w:rPr>
          <w:t>https://doi.org/10.1038/s41598-022-06379-1</w:t>
        </w:r>
      </w:hyperlink>
      <w:r w:rsidRPr="00224956">
        <w:rPr>
          <w:rFonts w:ascii="Garamond" w:hAnsi="Garamond"/>
          <w:color w:val="000000" w:themeColor="text1"/>
        </w:rPr>
        <w:t>.</w:t>
      </w:r>
      <w:r w:rsidRPr="00224956">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DE7"/>
    <w:multiLevelType w:val="hybridMultilevel"/>
    <w:tmpl w:val="CA3A8B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A95C02"/>
    <w:multiLevelType w:val="hybridMultilevel"/>
    <w:tmpl w:val="0C64A2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B61CF8"/>
    <w:multiLevelType w:val="hybridMultilevel"/>
    <w:tmpl w:val="B7CA747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20E640F"/>
    <w:multiLevelType w:val="hybridMultilevel"/>
    <w:tmpl w:val="A664E0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5C1C4A"/>
    <w:multiLevelType w:val="hybridMultilevel"/>
    <w:tmpl w:val="03042992"/>
    <w:lvl w:ilvl="0" w:tplc="B5D2B608">
      <w:start w:val="1400"/>
      <w:numFmt w:val="bullet"/>
      <w:lvlText w:val="-"/>
      <w:lvlJc w:val="left"/>
      <w:pPr>
        <w:ind w:left="1080" w:hanging="360"/>
      </w:pPr>
      <w:rPr>
        <w:rFonts w:ascii="Garamond" w:eastAsia="Garamond" w:hAnsi="Garamond"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B7B67"/>
    <w:multiLevelType w:val="multilevel"/>
    <w:tmpl w:val="FCE23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140D89"/>
    <w:multiLevelType w:val="hybridMultilevel"/>
    <w:tmpl w:val="C51678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0B758E"/>
    <w:multiLevelType w:val="hybridMultilevel"/>
    <w:tmpl w:val="A7A85CA0"/>
    <w:lvl w:ilvl="0" w:tplc="E9BEB0A8">
      <w:start w:val="1400"/>
      <w:numFmt w:val="bullet"/>
      <w:lvlText w:val="-"/>
      <w:lvlJc w:val="left"/>
      <w:pPr>
        <w:ind w:left="1080" w:hanging="360"/>
      </w:pPr>
      <w:rPr>
        <w:rFonts w:ascii="Garamond" w:eastAsia="Garamond" w:hAnsi="Garamond"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D51B62"/>
    <w:multiLevelType w:val="hybridMultilevel"/>
    <w:tmpl w:val="61C682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760D71"/>
    <w:multiLevelType w:val="hybridMultilevel"/>
    <w:tmpl w:val="B31E25EE"/>
    <w:lvl w:ilvl="0" w:tplc="AD80B08E">
      <w:start w:val="1400"/>
      <w:numFmt w:val="bullet"/>
      <w:lvlText w:val=""/>
      <w:lvlJc w:val="left"/>
      <w:pPr>
        <w:ind w:left="720" w:hanging="360"/>
      </w:pPr>
      <w:rPr>
        <w:rFonts w:ascii="Symbol" w:eastAsiaTheme="minorEastAsia" w:hAnsi="Symbo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E569D"/>
    <w:multiLevelType w:val="hybridMultilevel"/>
    <w:tmpl w:val="DC0E94B8"/>
    <w:lvl w:ilvl="0" w:tplc="2A7896F6">
      <w:start w:val="6"/>
      <w:numFmt w:val="bullet"/>
      <w:lvlText w:val="-"/>
      <w:lvlJc w:val="left"/>
      <w:pPr>
        <w:ind w:left="2160" w:hanging="360"/>
      </w:pPr>
      <w:rPr>
        <w:rFonts w:ascii="Garamond" w:eastAsia="Garamond" w:hAnsi="Garamond" w:cs="Garamond"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D8483A"/>
    <w:multiLevelType w:val="hybridMultilevel"/>
    <w:tmpl w:val="2E38A1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9D6A27"/>
    <w:multiLevelType w:val="hybridMultilevel"/>
    <w:tmpl w:val="8572DD70"/>
    <w:lvl w:ilvl="0" w:tplc="6D3E3F80">
      <w:start w:val="1400"/>
      <w:numFmt w:val="bullet"/>
      <w:lvlText w:val="-"/>
      <w:lvlJc w:val="left"/>
      <w:pPr>
        <w:ind w:left="1080" w:hanging="360"/>
      </w:pPr>
      <w:rPr>
        <w:rFonts w:ascii="Garamond" w:eastAsia="Garamond" w:hAnsi="Garamond"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1E09E6"/>
    <w:multiLevelType w:val="hybridMultilevel"/>
    <w:tmpl w:val="D6840E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8A7591"/>
    <w:multiLevelType w:val="hybridMultilevel"/>
    <w:tmpl w:val="26FAA5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5F4595"/>
    <w:multiLevelType w:val="hybridMultilevel"/>
    <w:tmpl w:val="5EFC7F3E"/>
    <w:lvl w:ilvl="0" w:tplc="7E38B8F0">
      <w:start w:val="6"/>
      <w:numFmt w:val="bullet"/>
      <w:lvlText w:val=""/>
      <w:lvlJc w:val="left"/>
      <w:pPr>
        <w:ind w:left="1080" w:hanging="360"/>
      </w:pPr>
      <w:rPr>
        <w:rFonts w:ascii="Symbol" w:eastAsia="Times New Roman" w:hAnsi="Symbol" w:cs="Times New Roman" w:hint="default"/>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E8086F"/>
    <w:multiLevelType w:val="hybridMultilevel"/>
    <w:tmpl w:val="7C508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F76DF4"/>
    <w:multiLevelType w:val="hybridMultilevel"/>
    <w:tmpl w:val="E34ED368"/>
    <w:lvl w:ilvl="0" w:tplc="14B47E1E">
      <w:start w:val="6"/>
      <w:numFmt w:val="bullet"/>
      <w:lvlText w:val=""/>
      <w:lvlJc w:val="left"/>
      <w:pPr>
        <w:ind w:left="1080" w:hanging="360"/>
      </w:pPr>
      <w:rPr>
        <w:rFonts w:ascii="Symbol" w:eastAsia="Garamond" w:hAnsi="Symbol"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2C285C"/>
    <w:multiLevelType w:val="hybridMultilevel"/>
    <w:tmpl w:val="5554F614"/>
    <w:lvl w:ilvl="0" w:tplc="5016DFFC">
      <w:start w:val="140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6045B"/>
    <w:multiLevelType w:val="hybridMultilevel"/>
    <w:tmpl w:val="559481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3191246">
    <w:abstractNumId w:val="15"/>
  </w:num>
  <w:num w:numId="2" w16cid:durableId="18314685">
    <w:abstractNumId w:val="0"/>
  </w:num>
  <w:num w:numId="3" w16cid:durableId="772365127">
    <w:abstractNumId w:val="10"/>
  </w:num>
  <w:num w:numId="4" w16cid:durableId="1181699298">
    <w:abstractNumId w:val="17"/>
  </w:num>
  <w:num w:numId="5" w16cid:durableId="1185904771">
    <w:abstractNumId w:val="5"/>
  </w:num>
  <w:num w:numId="6" w16cid:durableId="893855796">
    <w:abstractNumId w:val="2"/>
  </w:num>
  <w:num w:numId="7" w16cid:durableId="1787775380">
    <w:abstractNumId w:val="16"/>
  </w:num>
  <w:num w:numId="8" w16cid:durableId="2145081505">
    <w:abstractNumId w:val="9"/>
  </w:num>
  <w:num w:numId="9" w16cid:durableId="80419662">
    <w:abstractNumId w:val="18"/>
  </w:num>
  <w:num w:numId="10" w16cid:durableId="1516337836">
    <w:abstractNumId w:val="4"/>
  </w:num>
  <w:num w:numId="11" w16cid:durableId="690497631">
    <w:abstractNumId w:val="7"/>
  </w:num>
  <w:num w:numId="12" w16cid:durableId="315380465">
    <w:abstractNumId w:val="12"/>
  </w:num>
  <w:num w:numId="13" w16cid:durableId="993335036">
    <w:abstractNumId w:val="1"/>
  </w:num>
  <w:num w:numId="14" w16cid:durableId="269121502">
    <w:abstractNumId w:val="13"/>
  </w:num>
  <w:num w:numId="15" w16cid:durableId="1388991939">
    <w:abstractNumId w:val="14"/>
  </w:num>
  <w:num w:numId="16" w16cid:durableId="814028999">
    <w:abstractNumId w:val="11"/>
  </w:num>
  <w:num w:numId="17" w16cid:durableId="1775978074">
    <w:abstractNumId w:val="6"/>
  </w:num>
  <w:num w:numId="18" w16cid:durableId="1641838054">
    <w:abstractNumId w:val="8"/>
  </w:num>
  <w:num w:numId="19" w16cid:durableId="71702275">
    <w:abstractNumId w:val="3"/>
  </w:num>
  <w:num w:numId="20" w16cid:durableId="16743374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7D"/>
    <w:rsid w:val="00013B47"/>
    <w:rsid w:val="0001743C"/>
    <w:rsid w:val="000220E5"/>
    <w:rsid w:val="000344B8"/>
    <w:rsid w:val="00051B34"/>
    <w:rsid w:val="00055D58"/>
    <w:rsid w:val="00057892"/>
    <w:rsid w:val="00073BFD"/>
    <w:rsid w:val="00075EB3"/>
    <w:rsid w:val="000822A2"/>
    <w:rsid w:val="00097EAB"/>
    <w:rsid w:val="000A4A59"/>
    <w:rsid w:val="000B2211"/>
    <w:rsid w:val="000B562F"/>
    <w:rsid w:val="000C30FC"/>
    <w:rsid w:val="000C3B60"/>
    <w:rsid w:val="000E2663"/>
    <w:rsid w:val="00103C07"/>
    <w:rsid w:val="00114544"/>
    <w:rsid w:val="001161DC"/>
    <w:rsid w:val="00123B83"/>
    <w:rsid w:val="00127555"/>
    <w:rsid w:val="00141DF0"/>
    <w:rsid w:val="0016447E"/>
    <w:rsid w:val="00167774"/>
    <w:rsid w:val="0017619F"/>
    <w:rsid w:val="001833DB"/>
    <w:rsid w:val="00186043"/>
    <w:rsid w:val="00197ADD"/>
    <w:rsid w:val="001A1CC9"/>
    <w:rsid w:val="001F7025"/>
    <w:rsid w:val="0020084E"/>
    <w:rsid w:val="002136AB"/>
    <w:rsid w:val="00224956"/>
    <w:rsid w:val="00230C18"/>
    <w:rsid w:val="0025031E"/>
    <w:rsid w:val="0025069C"/>
    <w:rsid w:val="002741A3"/>
    <w:rsid w:val="002827DA"/>
    <w:rsid w:val="00282CD9"/>
    <w:rsid w:val="002A7051"/>
    <w:rsid w:val="002B5912"/>
    <w:rsid w:val="002D7FA7"/>
    <w:rsid w:val="002E4087"/>
    <w:rsid w:val="002E52D6"/>
    <w:rsid w:val="002E74E0"/>
    <w:rsid w:val="0030407C"/>
    <w:rsid w:val="00304110"/>
    <w:rsid w:val="00332AD8"/>
    <w:rsid w:val="003372DF"/>
    <w:rsid w:val="00352795"/>
    <w:rsid w:val="00354916"/>
    <w:rsid w:val="0035561D"/>
    <w:rsid w:val="00355CD0"/>
    <w:rsid w:val="00376A14"/>
    <w:rsid w:val="00380D2A"/>
    <w:rsid w:val="00386AC6"/>
    <w:rsid w:val="003B1EAA"/>
    <w:rsid w:val="003B6340"/>
    <w:rsid w:val="003C03E6"/>
    <w:rsid w:val="003C4987"/>
    <w:rsid w:val="003C650F"/>
    <w:rsid w:val="003F37B9"/>
    <w:rsid w:val="0041684A"/>
    <w:rsid w:val="00420DC0"/>
    <w:rsid w:val="00422D17"/>
    <w:rsid w:val="00432A83"/>
    <w:rsid w:val="00451FCE"/>
    <w:rsid w:val="00481988"/>
    <w:rsid w:val="004A13A6"/>
    <w:rsid w:val="004A3996"/>
    <w:rsid w:val="004B0089"/>
    <w:rsid w:val="004B4F7D"/>
    <w:rsid w:val="004D75A8"/>
    <w:rsid w:val="005048BA"/>
    <w:rsid w:val="00507132"/>
    <w:rsid w:val="0052653B"/>
    <w:rsid w:val="00542DBA"/>
    <w:rsid w:val="00567257"/>
    <w:rsid w:val="00585F17"/>
    <w:rsid w:val="005A7D29"/>
    <w:rsid w:val="005B485B"/>
    <w:rsid w:val="00602693"/>
    <w:rsid w:val="00603DC9"/>
    <w:rsid w:val="00616C99"/>
    <w:rsid w:val="00617332"/>
    <w:rsid w:val="00630178"/>
    <w:rsid w:val="00631167"/>
    <w:rsid w:val="00634EE6"/>
    <w:rsid w:val="006352A6"/>
    <w:rsid w:val="006355A2"/>
    <w:rsid w:val="00655A34"/>
    <w:rsid w:val="00674D82"/>
    <w:rsid w:val="0068209F"/>
    <w:rsid w:val="006D04EE"/>
    <w:rsid w:val="006D66D3"/>
    <w:rsid w:val="00706C9E"/>
    <w:rsid w:val="00733EE3"/>
    <w:rsid w:val="00734CA5"/>
    <w:rsid w:val="007552EE"/>
    <w:rsid w:val="0075792D"/>
    <w:rsid w:val="007626D4"/>
    <w:rsid w:val="007722B6"/>
    <w:rsid w:val="0078203C"/>
    <w:rsid w:val="00782F0F"/>
    <w:rsid w:val="00792EE2"/>
    <w:rsid w:val="007A0B6A"/>
    <w:rsid w:val="007A7F5C"/>
    <w:rsid w:val="007B2CF1"/>
    <w:rsid w:val="007B601E"/>
    <w:rsid w:val="007C0236"/>
    <w:rsid w:val="007C618D"/>
    <w:rsid w:val="007D5D30"/>
    <w:rsid w:val="008163FC"/>
    <w:rsid w:val="008261D2"/>
    <w:rsid w:val="008458F8"/>
    <w:rsid w:val="00850262"/>
    <w:rsid w:val="00873DD3"/>
    <w:rsid w:val="008810A7"/>
    <w:rsid w:val="00884057"/>
    <w:rsid w:val="008912D6"/>
    <w:rsid w:val="00895EE1"/>
    <w:rsid w:val="008965EE"/>
    <w:rsid w:val="008B2139"/>
    <w:rsid w:val="008B2496"/>
    <w:rsid w:val="008B5058"/>
    <w:rsid w:val="008C6C1D"/>
    <w:rsid w:val="008D0166"/>
    <w:rsid w:val="008D3843"/>
    <w:rsid w:val="008D676F"/>
    <w:rsid w:val="008E5CA3"/>
    <w:rsid w:val="008F24FD"/>
    <w:rsid w:val="008F4D8F"/>
    <w:rsid w:val="00902F1E"/>
    <w:rsid w:val="00910EF7"/>
    <w:rsid w:val="0091589A"/>
    <w:rsid w:val="00943C50"/>
    <w:rsid w:val="009579EC"/>
    <w:rsid w:val="00961E1D"/>
    <w:rsid w:val="00967746"/>
    <w:rsid w:val="009832CD"/>
    <w:rsid w:val="009A19BC"/>
    <w:rsid w:val="009A637C"/>
    <w:rsid w:val="009A7F92"/>
    <w:rsid w:val="009B5833"/>
    <w:rsid w:val="009D1286"/>
    <w:rsid w:val="009E6DAC"/>
    <w:rsid w:val="00A22794"/>
    <w:rsid w:val="00A348DD"/>
    <w:rsid w:val="00A873DD"/>
    <w:rsid w:val="00AC089F"/>
    <w:rsid w:val="00AC37D7"/>
    <w:rsid w:val="00AD4F9B"/>
    <w:rsid w:val="00AE5B69"/>
    <w:rsid w:val="00AE603B"/>
    <w:rsid w:val="00B03DDE"/>
    <w:rsid w:val="00B161CE"/>
    <w:rsid w:val="00B26E68"/>
    <w:rsid w:val="00B40527"/>
    <w:rsid w:val="00B42B0C"/>
    <w:rsid w:val="00B577B8"/>
    <w:rsid w:val="00B677ED"/>
    <w:rsid w:val="00B7334B"/>
    <w:rsid w:val="00B733D6"/>
    <w:rsid w:val="00B83EC4"/>
    <w:rsid w:val="00B9647B"/>
    <w:rsid w:val="00BA4D47"/>
    <w:rsid w:val="00BA5DEA"/>
    <w:rsid w:val="00BB2D99"/>
    <w:rsid w:val="00BB65F5"/>
    <w:rsid w:val="00BC0822"/>
    <w:rsid w:val="00BC3493"/>
    <w:rsid w:val="00BD1D47"/>
    <w:rsid w:val="00BD3ECA"/>
    <w:rsid w:val="00BE5E71"/>
    <w:rsid w:val="00C05594"/>
    <w:rsid w:val="00C356F5"/>
    <w:rsid w:val="00C3661D"/>
    <w:rsid w:val="00C40068"/>
    <w:rsid w:val="00C52193"/>
    <w:rsid w:val="00C52DF2"/>
    <w:rsid w:val="00C54C63"/>
    <w:rsid w:val="00CA0864"/>
    <w:rsid w:val="00CB0854"/>
    <w:rsid w:val="00CC5257"/>
    <w:rsid w:val="00CD28AD"/>
    <w:rsid w:val="00CD349A"/>
    <w:rsid w:val="00CE0CAF"/>
    <w:rsid w:val="00D038BF"/>
    <w:rsid w:val="00D047EE"/>
    <w:rsid w:val="00D20475"/>
    <w:rsid w:val="00D3178B"/>
    <w:rsid w:val="00D42C5A"/>
    <w:rsid w:val="00D52451"/>
    <w:rsid w:val="00DA4A24"/>
    <w:rsid w:val="00DB1EC9"/>
    <w:rsid w:val="00DB41F9"/>
    <w:rsid w:val="00DB4C73"/>
    <w:rsid w:val="00DB71AF"/>
    <w:rsid w:val="00DD76C9"/>
    <w:rsid w:val="00DE2A42"/>
    <w:rsid w:val="00DE4AD3"/>
    <w:rsid w:val="00DE63BD"/>
    <w:rsid w:val="00DF2599"/>
    <w:rsid w:val="00DF54BE"/>
    <w:rsid w:val="00E03A8E"/>
    <w:rsid w:val="00E0744B"/>
    <w:rsid w:val="00E144FE"/>
    <w:rsid w:val="00E27B68"/>
    <w:rsid w:val="00E31C06"/>
    <w:rsid w:val="00E4575F"/>
    <w:rsid w:val="00E45D11"/>
    <w:rsid w:val="00E676B7"/>
    <w:rsid w:val="00E970D6"/>
    <w:rsid w:val="00EA4DDB"/>
    <w:rsid w:val="00EC4EC0"/>
    <w:rsid w:val="00EC5C23"/>
    <w:rsid w:val="00EC6C0F"/>
    <w:rsid w:val="00ED3124"/>
    <w:rsid w:val="00EE1F18"/>
    <w:rsid w:val="00EE4FE8"/>
    <w:rsid w:val="00EE55A2"/>
    <w:rsid w:val="00EE7AFE"/>
    <w:rsid w:val="00EF66AF"/>
    <w:rsid w:val="00F00266"/>
    <w:rsid w:val="00F0796D"/>
    <w:rsid w:val="00F2431A"/>
    <w:rsid w:val="00F2679F"/>
    <w:rsid w:val="00F2701F"/>
    <w:rsid w:val="00F358C7"/>
    <w:rsid w:val="00F60E11"/>
    <w:rsid w:val="00F65521"/>
    <w:rsid w:val="00F70E62"/>
    <w:rsid w:val="00F81EF9"/>
    <w:rsid w:val="00F90C69"/>
    <w:rsid w:val="00F9438E"/>
    <w:rsid w:val="00F95FFD"/>
    <w:rsid w:val="00FA05FF"/>
    <w:rsid w:val="00FA1D83"/>
    <w:rsid w:val="00FA5CE2"/>
    <w:rsid w:val="00FA71D1"/>
    <w:rsid w:val="00FD4B74"/>
    <w:rsid w:val="00FD6FD9"/>
    <w:rsid w:val="00FF3CE0"/>
    <w:rsid w:val="00FF5D18"/>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4E77"/>
  <w15:chartTrackingRefBased/>
  <w15:docId w15:val="{3598197E-C0A6-5343-AFAB-A7045C70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93"/>
    <w:rPr>
      <w:rFonts w:ascii="Times New Roman" w:eastAsia="Times New Roman" w:hAnsi="Times New Roman" w:cs="Times New Roman"/>
    </w:rPr>
  </w:style>
  <w:style w:type="paragraph" w:styleId="Heading1">
    <w:name w:val="heading 1"/>
    <w:basedOn w:val="Normal"/>
    <w:next w:val="Normal"/>
    <w:link w:val="Heading1Char"/>
    <w:uiPriority w:val="9"/>
    <w:qFormat/>
    <w:rsid w:val="002136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6DAC"/>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E6DAC"/>
  </w:style>
  <w:style w:type="character" w:styleId="PageNumber">
    <w:name w:val="page number"/>
    <w:basedOn w:val="DefaultParagraphFont"/>
    <w:uiPriority w:val="99"/>
    <w:semiHidden/>
    <w:unhideWhenUsed/>
    <w:rsid w:val="009E6DAC"/>
  </w:style>
  <w:style w:type="paragraph" w:styleId="Date">
    <w:name w:val="Date"/>
    <w:basedOn w:val="Normal"/>
    <w:next w:val="Normal"/>
    <w:link w:val="DateChar"/>
    <w:uiPriority w:val="99"/>
    <w:semiHidden/>
    <w:unhideWhenUsed/>
    <w:rsid w:val="009E6DAC"/>
    <w:rPr>
      <w:rFonts w:asciiTheme="minorHAnsi" w:eastAsiaTheme="minorEastAsia" w:hAnsiTheme="minorHAnsi" w:cstheme="minorBidi"/>
    </w:rPr>
  </w:style>
  <w:style w:type="character" w:customStyle="1" w:styleId="DateChar">
    <w:name w:val="Date Char"/>
    <w:basedOn w:val="DefaultParagraphFont"/>
    <w:link w:val="Date"/>
    <w:uiPriority w:val="99"/>
    <w:semiHidden/>
    <w:rsid w:val="009E6DAC"/>
  </w:style>
  <w:style w:type="paragraph" w:styleId="ListParagraph">
    <w:name w:val="List Paragraph"/>
    <w:basedOn w:val="Normal"/>
    <w:uiPriority w:val="34"/>
    <w:qFormat/>
    <w:rsid w:val="00BC0822"/>
    <w:pPr>
      <w:ind w:left="720"/>
      <w:contextualSpacing/>
    </w:pPr>
    <w:rPr>
      <w:rFonts w:ascii="Calibri" w:eastAsia="Calibri" w:hAnsi="Calibri" w:cs="Calibri"/>
    </w:rPr>
  </w:style>
  <w:style w:type="character" w:styleId="Hyperlink">
    <w:name w:val="Hyperlink"/>
    <w:basedOn w:val="DefaultParagraphFont"/>
    <w:uiPriority w:val="99"/>
    <w:unhideWhenUsed/>
    <w:rsid w:val="00BC0822"/>
    <w:rPr>
      <w:color w:val="0563C1" w:themeColor="hyperlink"/>
      <w:u w:val="single"/>
    </w:rPr>
  </w:style>
  <w:style w:type="paragraph" w:styleId="FootnoteText">
    <w:name w:val="footnote text"/>
    <w:basedOn w:val="Normal"/>
    <w:link w:val="FootnoteTextChar"/>
    <w:uiPriority w:val="99"/>
    <w:unhideWhenUsed/>
    <w:rsid w:val="00BC0822"/>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BC0822"/>
    <w:rPr>
      <w:rFonts w:ascii="Calibri" w:eastAsia="Calibri" w:hAnsi="Calibri" w:cs="Calibri"/>
      <w:sz w:val="20"/>
      <w:szCs w:val="20"/>
    </w:rPr>
  </w:style>
  <w:style w:type="character" w:styleId="FootnoteReference">
    <w:name w:val="footnote reference"/>
    <w:basedOn w:val="DefaultParagraphFont"/>
    <w:uiPriority w:val="99"/>
    <w:semiHidden/>
    <w:unhideWhenUsed/>
    <w:rsid w:val="00BC0822"/>
    <w:rPr>
      <w:vertAlign w:val="superscript"/>
    </w:rPr>
  </w:style>
  <w:style w:type="character" w:styleId="UnresolvedMention">
    <w:name w:val="Unresolved Mention"/>
    <w:basedOn w:val="DefaultParagraphFont"/>
    <w:uiPriority w:val="99"/>
    <w:semiHidden/>
    <w:unhideWhenUsed/>
    <w:rsid w:val="00655A34"/>
    <w:rPr>
      <w:color w:val="605E5C"/>
      <w:shd w:val="clear" w:color="auto" w:fill="E1DFDD"/>
    </w:rPr>
  </w:style>
  <w:style w:type="character" w:styleId="FollowedHyperlink">
    <w:name w:val="FollowedHyperlink"/>
    <w:basedOn w:val="DefaultParagraphFont"/>
    <w:uiPriority w:val="99"/>
    <w:semiHidden/>
    <w:unhideWhenUsed/>
    <w:rsid w:val="00E0744B"/>
    <w:rPr>
      <w:color w:val="954F72" w:themeColor="followedHyperlink"/>
      <w:u w:val="single"/>
    </w:rPr>
  </w:style>
  <w:style w:type="character" w:styleId="Emphasis">
    <w:name w:val="Emphasis"/>
    <w:basedOn w:val="DefaultParagraphFont"/>
    <w:uiPriority w:val="20"/>
    <w:qFormat/>
    <w:rsid w:val="00BA5DEA"/>
    <w:rPr>
      <w:i/>
      <w:iCs/>
    </w:rPr>
  </w:style>
  <w:style w:type="paragraph" w:styleId="NormalWeb">
    <w:name w:val="Normal (Web)"/>
    <w:basedOn w:val="Normal"/>
    <w:uiPriority w:val="99"/>
    <w:unhideWhenUsed/>
    <w:rsid w:val="0020084E"/>
    <w:pPr>
      <w:spacing w:before="100" w:beforeAutospacing="1" w:after="100" w:afterAutospacing="1"/>
    </w:pPr>
  </w:style>
  <w:style w:type="paragraph" w:styleId="Revision">
    <w:name w:val="Revision"/>
    <w:hidden/>
    <w:uiPriority w:val="99"/>
    <w:semiHidden/>
    <w:rsid w:val="00542DB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2DBA"/>
    <w:rPr>
      <w:sz w:val="16"/>
      <w:szCs w:val="16"/>
    </w:rPr>
  </w:style>
  <w:style w:type="paragraph" w:styleId="CommentText">
    <w:name w:val="annotation text"/>
    <w:basedOn w:val="Normal"/>
    <w:link w:val="CommentTextChar"/>
    <w:uiPriority w:val="99"/>
    <w:unhideWhenUsed/>
    <w:rsid w:val="00542DBA"/>
    <w:rPr>
      <w:sz w:val="20"/>
      <w:szCs w:val="20"/>
    </w:rPr>
  </w:style>
  <w:style w:type="character" w:customStyle="1" w:styleId="CommentTextChar">
    <w:name w:val="Comment Text Char"/>
    <w:basedOn w:val="DefaultParagraphFont"/>
    <w:link w:val="CommentText"/>
    <w:uiPriority w:val="99"/>
    <w:rsid w:val="00542D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DBA"/>
    <w:rPr>
      <w:b/>
      <w:bCs/>
    </w:rPr>
  </w:style>
  <w:style w:type="character" w:customStyle="1" w:styleId="CommentSubjectChar">
    <w:name w:val="Comment Subject Char"/>
    <w:basedOn w:val="CommentTextChar"/>
    <w:link w:val="CommentSubject"/>
    <w:uiPriority w:val="99"/>
    <w:semiHidden/>
    <w:rsid w:val="00542DB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136A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4D82"/>
    <w:pPr>
      <w:tabs>
        <w:tab w:val="center" w:pos="4680"/>
        <w:tab w:val="right" w:pos="9360"/>
      </w:tabs>
    </w:pPr>
  </w:style>
  <w:style w:type="character" w:customStyle="1" w:styleId="HeaderChar">
    <w:name w:val="Header Char"/>
    <w:basedOn w:val="DefaultParagraphFont"/>
    <w:link w:val="Header"/>
    <w:uiPriority w:val="99"/>
    <w:rsid w:val="00674D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9695">
      <w:bodyDiv w:val="1"/>
      <w:marLeft w:val="0"/>
      <w:marRight w:val="0"/>
      <w:marTop w:val="0"/>
      <w:marBottom w:val="0"/>
      <w:divBdr>
        <w:top w:val="none" w:sz="0" w:space="0" w:color="auto"/>
        <w:left w:val="none" w:sz="0" w:space="0" w:color="auto"/>
        <w:bottom w:val="none" w:sz="0" w:space="0" w:color="auto"/>
        <w:right w:val="none" w:sz="0" w:space="0" w:color="auto"/>
      </w:divBdr>
    </w:div>
    <w:div w:id="281544610">
      <w:bodyDiv w:val="1"/>
      <w:marLeft w:val="0"/>
      <w:marRight w:val="0"/>
      <w:marTop w:val="0"/>
      <w:marBottom w:val="0"/>
      <w:divBdr>
        <w:top w:val="none" w:sz="0" w:space="0" w:color="auto"/>
        <w:left w:val="none" w:sz="0" w:space="0" w:color="auto"/>
        <w:bottom w:val="none" w:sz="0" w:space="0" w:color="auto"/>
        <w:right w:val="none" w:sz="0" w:space="0" w:color="auto"/>
      </w:divBdr>
    </w:div>
    <w:div w:id="288172146">
      <w:bodyDiv w:val="1"/>
      <w:marLeft w:val="0"/>
      <w:marRight w:val="0"/>
      <w:marTop w:val="0"/>
      <w:marBottom w:val="0"/>
      <w:divBdr>
        <w:top w:val="none" w:sz="0" w:space="0" w:color="auto"/>
        <w:left w:val="none" w:sz="0" w:space="0" w:color="auto"/>
        <w:bottom w:val="none" w:sz="0" w:space="0" w:color="auto"/>
        <w:right w:val="none" w:sz="0" w:space="0" w:color="auto"/>
      </w:divBdr>
    </w:div>
    <w:div w:id="467941404">
      <w:bodyDiv w:val="1"/>
      <w:marLeft w:val="0"/>
      <w:marRight w:val="0"/>
      <w:marTop w:val="0"/>
      <w:marBottom w:val="0"/>
      <w:divBdr>
        <w:top w:val="none" w:sz="0" w:space="0" w:color="auto"/>
        <w:left w:val="none" w:sz="0" w:space="0" w:color="auto"/>
        <w:bottom w:val="none" w:sz="0" w:space="0" w:color="auto"/>
        <w:right w:val="none" w:sz="0" w:space="0" w:color="auto"/>
      </w:divBdr>
      <w:divsChild>
        <w:div w:id="521820934">
          <w:marLeft w:val="0"/>
          <w:marRight w:val="0"/>
          <w:marTop w:val="0"/>
          <w:marBottom w:val="0"/>
          <w:divBdr>
            <w:top w:val="none" w:sz="0" w:space="0" w:color="auto"/>
            <w:left w:val="none" w:sz="0" w:space="0" w:color="auto"/>
            <w:bottom w:val="none" w:sz="0" w:space="0" w:color="auto"/>
            <w:right w:val="none" w:sz="0" w:space="0" w:color="auto"/>
          </w:divBdr>
          <w:divsChild>
            <w:div w:id="1527475498">
              <w:marLeft w:val="0"/>
              <w:marRight w:val="0"/>
              <w:marTop w:val="0"/>
              <w:marBottom w:val="0"/>
              <w:divBdr>
                <w:top w:val="none" w:sz="0" w:space="0" w:color="auto"/>
                <w:left w:val="none" w:sz="0" w:space="0" w:color="auto"/>
                <w:bottom w:val="none" w:sz="0" w:space="0" w:color="auto"/>
                <w:right w:val="none" w:sz="0" w:space="0" w:color="auto"/>
              </w:divBdr>
              <w:divsChild>
                <w:div w:id="122845922">
                  <w:marLeft w:val="0"/>
                  <w:marRight w:val="0"/>
                  <w:marTop w:val="0"/>
                  <w:marBottom w:val="0"/>
                  <w:divBdr>
                    <w:top w:val="none" w:sz="0" w:space="0" w:color="auto"/>
                    <w:left w:val="none" w:sz="0" w:space="0" w:color="auto"/>
                    <w:bottom w:val="none" w:sz="0" w:space="0" w:color="auto"/>
                    <w:right w:val="none" w:sz="0" w:space="0" w:color="auto"/>
                  </w:divBdr>
                  <w:divsChild>
                    <w:div w:id="9540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63615">
      <w:bodyDiv w:val="1"/>
      <w:marLeft w:val="0"/>
      <w:marRight w:val="0"/>
      <w:marTop w:val="0"/>
      <w:marBottom w:val="0"/>
      <w:divBdr>
        <w:top w:val="none" w:sz="0" w:space="0" w:color="auto"/>
        <w:left w:val="none" w:sz="0" w:space="0" w:color="auto"/>
        <w:bottom w:val="none" w:sz="0" w:space="0" w:color="auto"/>
        <w:right w:val="none" w:sz="0" w:space="0" w:color="auto"/>
      </w:divBdr>
    </w:div>
    <w:div w:id="495455878">
      <w:bodyDiv w:val="1"/>
      <w:marLeft w:val="0"/>
      <w:marRight w:val="0"/>
      <w:marTop w:val="0"/>
      <w:marBottom w:val="0"/>
      <w:divBdr>
        <w:top w:val="none" w:sz="0" w:space="0" w:color="auto"/>
        <w:left w:val="none" w:sz="0" w:space="0" w:color="auto"/>
        <w:bottom w:val="none" w:sz="0" w:space="0" w:color="auto"/>
        <w:right w:val="none" w:sz="0" w:space="0" w:color="auto"/>
      </w:divBdr>
      <w:divsChild>
        <w:div w:id="2096052519">
          <w:marLeft w:val="0"/>
          <w:marRight w:val="0"/>
          <w:marTop w:val="0"/>
          <w:marBottom w:val="0"/>
          <w:divBdr>
            <w:top w:val="none" w:sz="0" w:space="0" w:color="auto"/>
            <w:left w:val="none" w:sz="0" w:space="0" w:color="auto"/>
            <w:bottom w:val="none" w:sz="0" w:space="0" w:color="auto"/>
            <w:right w:val="none" w:sz="0" w:space="0" w:color="auto"/>
          </w:divBdr>
          <w:divsChild>
            <w:div w:id="1363824358">
              <w:marLeft w:val="0"/>
              <w:marRight w:val="0"/>
              <w:marTop w:val="0"/>
              <w:marBottom w:val="0"/>
              <w:divBdr>
                <w:top w:val="none" w:sz="0" w:space="0" w:color="auto"/>
                <w:left w:val="none" w:sz="0" w:space="0" w:color="auto"/>
                <w:bottom w:val="none" w:sz="0" w:space="0" w:color="auto"/>
                <w:right w:val="none" w:sz="0" w:space="0" w:color="auto"/>
              </w:divBdr>
              <w:divsChild>
                <w:div w:id="1238901060">
                  <w:marLeft w:val="0"/>
                  <w:marRight w:val="0"/>
                  <w:marTop w:val="0"/>
                  <w:marBottom w:val="0"/>
                  <w:divBdr>
                    <w:top w:val="none" w:sz="0" w:space="0" w:color="auto"/>
                    <w:left w:val="none" w:sz="0" w:space="0" w:color="auto"/>
                    <w:bottom w:val="none" w:sz="0" w:space="0" w:color="auto"/>
                    <w:right w:val="none" w:sz="0" w:space="0" w:color="auto"/>
                  </w:divBdr>
                  <w:divsChild>
                    <w:div w:id="4726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261424">
      <w:bodyDiv w:val="1"/>
      <w:marLeft w:val="0"/>
      <w:marRight w:val="0"/>
      <w:marTop w:val="0"/>
      <w:marBottom w:val="0"/>
      <w:divBdr>
        <w:top w:val="none" w:sz="0" w:space="0" w:color="auto"/>
        <w:left w:val="none" w:sz="0" w:space="0" w:color="auto"/>
        <w:bottom w:val="none" w:sz="0" w:space="0" w:color="auto"/>
        <w:right w:val="none" w:sz="0" w:space="0" w:color="auto"/>
      </w:divBdr>
    </w:div>
    <w:div w:id="726758079">
      <w:bodyDiv w:val="1"/>
      <w:marLeft w:val="0"/>
      <w:marRight w:val="0"/>
      <w:marTop w:val="0"/>
      <w:marBottom w:val="0"/>
      <w:divBdr>
        <w:top w:val="none" w:sz="0" w:space="0" w:color="auto"/>
        <w:left w:val="none" w:sz="0" w:space="0" w:color="auto"/>
        <w:bottom w:val="none" w:sz="0" w:space="0" w:color="auto"/>
        <w:right w:val="none" w:sz="0" w:space="0" w:color="auto"/>
      </w:divBdr>
      <w:divsChild>
        <w:div w:id="1140658115">
          <w:marLeft w:val="0"/>
          <w:marRight w:val="0"/>
          <w:marTop w:val="0"/>
          <w:marBottom w:val="0"/>
          <w:divBdr>
            <w:top w:val="none" w:sz="0" w:space="0" w:color="auto"/>
            <w:left w:val="none" w:sz="0" w:space="0" w:color="auto"/>
            <w:bottom w:val="none" w:sz="0" w:space="0" w:color="auto"/>
            <w:right w:val="none" w:sz="0" w:space="0" w:color="auto"/>
          </w:divBdr>
          <w:divsChild>
            <w:div w:id="1678923417">
              <w:marLeft w:val="0"/>
              <w:marRight w:val="0"/>
              <w:marTop w:val="0"/>
              <w:marBottom w:val="0"/>
              <w:divBdr>
                <w:top w:val="none" w:sz="0" w:space="0" w:color="auto"/>
                <w:left w:val="none" w:sz="0" w:space="0" w:color="auto"/>
                <w:bottom w:val="none" w:sz="0" w:space="0" w:color="auto"/>
                <w:right w:val="none" w:sz="0" w:space="0" w:color="auto"/>
              </w:divBdr>
              <w:divsChild>
                <w:div w:id="1320768614">
                  <w:marLeft w:val="0"/>
                  <w:marRight w:val="0"/>
                  <w:marTop w:val="0"/>
                  <w:marBottom w:val="0"/>
                  <w:divBdr>
                    <w:top w:val="none" w:sz="0" w:space="0" w:color="auto"/>
                    <w:left w:val="none" w:sz="0" w:space="0" w:color="auto"/>
                    <w:bottom w:val="none" w:sz="0" w:space="0" w:color="auto"/>
                    <w:right w:val="none" w:sz="0" w:space="0" w:color="auto"/>
                  </w:divBdr>
                  <w:divsChild>
                    <w:div w:id="15496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15060">
      <w:bodyDiv w:val="1"/>
      <w:marLeft w:val="0"/>
      <w:marRight w:val="0"/>
      <w:marTop w:val="0"/>
      <w:marBottom w:val="0"/>
      <w:divBdr>
        <w:top w:val="none" w:sz="0" w:space="0" w:color="auto"/>
        <w:left w:val="none" w:sz="0" w:space="0" w:color="auto"/>
        <w:bottom w:val="none" w:sz="0" w:space="0" w:color="auto"/>
        <w:right w:val="none" w:sz="0" w:space="0" w:color="auto"/>
      </w:divBdr>
    </w:div>
    <w:div w:id="771241304">
      <w:bodyDiv w:val="1"/>
      <w:marLeft w:val="0"/>
      <w:marRight w:val="0"/>
      <w:marTop w:val="0"/>
      <w:marBottom w:val="0"/>
      <w:divBdr>
        <w:top w:val="none" w:sz="0" w:space="0" w:color="auto"/>
        <w:left w:val="none" w:sz="0" w:space="0" w:color="auto"/>
        <w:bottom w:val="none" w:sz="0" w:space="0" w:color="auto"/>
        <w:right w:val="none" w:sz="0" w:space="0" w:color="auto"/>
      </w:divBdr>
      <w:divsChild>
        <w:div w:id="1507092745">
          <w:marLeft w:val="0"/>
          <w:marRight w:val="0"/>
          <w:marTop w:val="0"/>
          <w:marBottom w:val="0"/>
          <w:divBdr>
            <w:top w:val="none" w:sz="0" w:space="0" w:color="auto"/>
            <w:left w:val="none" w:sz="0" w:space="0" w:color="auto"/>
            <w:bottom w:val="none" w:sz="0" w:space="0" w:color="auto"/>
            <w:right w:val="none" w:sz="0" w:space="0" w:color="auto"/>
          </w:divBdr>
          <w:divsChild>
            <w:div w:id="312026814">
              <w:marLeft w:val="0"/>
              <w:marRight w:val="0"/>
              <w:marTop w:val="0"/>
              <w:marBottom w:val="0"/>
              <w:divBdr>
                <w:top w:val="none" w:sz="0" w:space="0" w:color="auto"/>
                <w:left w:val="none" w:sz="0" w:space="0" w:color="auto"/>
                <w:bottom w:val="none" w:sz="0" w:space="0" w:color="auto"/>
                <w:right w:val="none" w:sz="0" w:space="0" w:color="auto"/>
              </w:divBdr>
              <w:divsChild>
                <w:div w:id="385876198">
                  <w:marLeft w:val="0"/>
                  <w:marRight w:val="0"/>
                  <w:marTop w:val="0"/>
                  <w:marBottom w:val="0"/>
                  <w:divBdr>
                    <w:top w:val="none" w:sz="0" w:space="0" w:color="auto"/>
                    <w:left w:val="none" w:sz="0" w:space="0" w:color="auto"/>
                    <w:bottom w:val="none" w:sz="0" w:space="0" w:color="auto"/>
                    <w:right w:val="none" w:sz="0" w:space="0" w:color="auto"/>
                  </w:divBdr>
                  <w:divsChild>
                    <w:div w:id="1401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78507">
      <w:bodyDiv w:val="1"/>
      <w:marLeft w:val="0"/>
      <w:marRight w:val="0"/>
      <w:marTop w:val="0"/>
      <w:marBottom w:val="0"/>
      <w:divBdr>
        <w:top w:val="none" w:sz="0" w:space="0" w:color="auto"/>
        <w:left w:val="none" w:sz="0" w:space="0" w:color="auto"/>
        <w:bottom w:val="none" w:sz="0" w:space="0" w:color="auto"/>
        <w:right w:val="none" w:sz="0" w:space="0" w:color="auto"/>
      </w:divBdr>
      <w:divsChild>
        <w:div w:id="491526874">
          <w:marLeft w:val="0"/>
          <w:marRight w:val="0"/>
          <w:marTop w:val="0"/>
          <w:marBottom w:val="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sChild>
                <w:div w:id="2023512125">
                  <w:marLeft w:val="0"/>
                  <w:marRight w:val="0"/>
                  <w:marTop w:val="0"/>
                  <w:marBottom w:val="0"/>
                  <w:divBdr>
                    <w:top w:val="none" w:sz="0" w:space="0" w:color="auto"/>
                    <w:left w:val="none" w:sz="0" w:space="0" w:color="auto"/>
                    <w:bottom w:val="none" w:sz="0" w:space="0" w:color="auto"/>
                    <w:right w:val="none" w:sz="0" w:space="0" w:color="auto"/>
                  </w:divBdr>
                  <w:divsChild>
                    <w:div w:id="18344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38092">
      <w:bodyDiv w:val="1"/>
      <w:marLeft w:val="0"/>
      <w:marRight w:val="0"/>
      <w:marTop w:val="0"/>
      <w:marBottom w:val="0"/>
      <w:divBdr>
        <w:top w:val="none" w:sz="0" w:space="0" w:color="auto"/>
        <w:left w:val="none" w:sz="0" w:space="0" w:color="auto"/>
        <w:bottom w:val="none" w:sz="0" w:space="0" w:color="auto"/>
        <w:right w:val="none" w:sz="0" w:space="0" w:color="auto"/>
      </w:divBdr>
    </w:div>
    <w:div w:id="988292841">
      <w:bodyDiv w:val="1"/>
      <w:marLeft w:val="0"/>
      <w:marRight w:val="0"/>
      <w:marTop w:val="0"/>
      <w:marBottom w:val="0"/>
      <w:divBdr>
        <w:top w:val="none" w:sz="0" w:space="0" w:color="auto"/>
        <w:left w:val="none" w:sz="0" w:space="0" w:color="auto"/>
        <w:bottom w:val="none" w:sz="0" w:space="0" w:color="auto"/>
        <w:right w:val="none" w:sz="0" w:space="0" w:color="auto"/>
      </w:divBdr>
    </w:div>
    <w:div w:id="1251429618">
      <w:bodyDiv w:val="1"/>
      <w:marLeft w:val="0"/>
      <w:marRight w:val="0"/>
      <w:marTop w:val="0"/>
      <w:marBottom w:val="0"/>
      <w:divBdr>
        <w:top w:val="none" w:sz="0" w:space="0" w:color="auto"/>
        <w:left w:val="none" w:sz="0" w:space="0" w:color="auto"/>
        <w:bottom w:val="none" w:sz="0" w:space="0" w:color="auto"/>
        <w:right w:val="none" w:sz="0" w:space="0" w:color="auto"/>
      </w:divBdr>
    </w:div>
    <w:div w:id="1316111229">
      <w:bodyDiv w:val="1"/>
      <w:marLeft w:val="0"/>
      <w:marRight w:val="0"/>
      <w:marTop w:val="0"/>
      <w:marBottom w:val="0"/>
      <w:divBdr>
        <w:top w:val="none" w:sz="0" w:space="0" w:color="auto"/>
        <w:left w:val="none" w:sz="0" w:space="0" w:color="auto"/>
        <w:bottom w:val="none" w:sz="0" w:space="0" w:color="auto"/>
        <w:right w:val="none" w:sz="0" w:space="0" w:color="auto"/>
      </w:divBdr>
      <w:divsChild>
        <w:div w:id="668950373">
          <w:marLeft w:val="0"/>
          <w:marRight w:val="0"/>
          <w:marTop w:val="0"/>
          <w:marBottom w:val="0"/>
          <w:divBdr>
            <w:top w:val="none" w:sz="0" w:space="0" w:color="auto"/>
            <w:left w:val="none" w:sz="0" w:space="0" w:color="auto"/>
            <w:bottom w:val="none" w:sz="0" w:space="0" w:color="auto"/>
            <w:right w:val="none" w:sz="0" w:space="0" w:color="auto"/>
          </w:divBdr>
          <w:divsChild>
            <w:div w:id="1778596729">
              <w:marLeft w:val="0"/>
              <w:marRight w:val="0"/>
              <w:marTop w:val="0"/>
              <w:marBottom w:val="0"/>
              <w:divBdr>
                <w:top w:val="none" w:sz="0" w:space="0" w:color="auto"/>
                <w:left w:val="none" w:sz="0" w:space="0" w:color="auto"/>
                <w:bottom w:val="none" w:sz="0" w:space="0" w:color="auto"/>
                <w:right w:val="none" w:sz="0" w:space="0" w:color="auto"/>
              </w:divBdr>
              <w:divsChild>
                <w:div w:id="1492062515">
                  <w:marLeft w:val="0"/>
                  <w:marRight w:val="0"/>
                  <w:marTop w:val="0"/>
                  <w:marBottom w:val="0"/>
                  <w:divBdr>
                    <w:top w:val="none" w:sz="0" w:space="0" w:color="auto"/>
                    <w:left w:val="none" w:sz="0" w:space="0" w:color="auto"/>
                    <w:bottom w:val="none" w:sz="0" w:space="0" w:color="auto"/>
                    <w:right w:val="none" w:sz="0" w:space="0" w:color="auto"/>
                  </w:divBdr>
                  <w:divsChild>
                    <w:div w:id="11135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1105">
      <w:bodyDiv w:val="1"/>
      <w:marLeft w:val="0"/>
      <w:marRight w:val="0"/>
      <w:marTop w:val="0"/>
      <w:marBottom w:val="0"/>
      <w:divBdr>
        <w:top w:val="none" w:sz="0" w:space="0" w:color="auto"/>
        <w:left w:val="none" w:sz="0" w:space="0" w:color="auto"/>
        <w:bottom w:val="none" w:sz="0" w:space="0" w:color="auto"/>
        <w:right w:val="none" w:sz="0" w:space="0" w:color="auto"/>
      </w:divBdr>
    </w:div>
    <w:div w:id="1436293479">
      <w:bodyDiv w:val="1"/>
      <w:marLeft w:val="0"/>
      <w:marRight w:val="0"/>
      <w:marTop w:val="0"/>
      <w:marBottom w:val="0"/>
      <w:divBdr>
        <w:top w:val="none" w:sz="0" w:space="0" w:color="auto"/>
        <w:left w:val="none" w:sz="0" w:space="0" w:color="auto"/>
        <w:bottom w:val="none" w:sz="0" w:space="0" w:color="auto"/>
        <w:right w:val="none" w:sz="0" w:space="0" w:color="auto"/>
      </w:divBdr>
      <w:divsChild>
        <w:div w:id="636297027">
          <w:marLeft w:val="0"/>
          <w:marRight w:val="0"/>
          <w:marTop w:val="0"/>
          <w:marBottom w:val="0"/>
          <w:divBdr>
            <w:top w:val="none" w:sz="0" w:space="0" w:color="auto"/>
            <w:left w:val="none" w:sz="0" w:space="0" w:color="auto"/>
            <w:bottom w:val="none" w:sz="0" w:space="0" w:color="auto"/>
            <w:right w:val="none" w:sz="0" w:space="0" w:color="auto"/>
          </w:divBdr>
          <w:divsChild>
            <w:div w:id="210117545">
              <w:marLeft w:val="0"/>
              <w:marRight w:val="0"/>
              <w:marTop w:val="0"/>
              <w:marBottom w:val="0"/>
              <w:divBdr>
                <w:top w:val="none" w:sz="0" w:space="0" w:color="auto"/>
                <w:left w:val="none" w:sz="0" w:space="0" w:color="auto"/>
                <w:bottom w:val="none" w:sz="0" w:space="0" w:color="auto"/>
                <w:right w:val="none" w:sz="0" w:space="0" w:color="auto"/>
              </w:divBdr>
              <w:divsChild>
                <w:div w:id="307904770">
                  <w:marLeft w:val="0"/>
                  <w:marRight w:val="0"/>
                  <w:marTop w:val="0"/>
                  <w:marBottom w:val="0"/>
                  <w:divBdr>
                    <w:top w:val="none" w:sz="0" w:space="0" w:color="auto"/>
                    <w:left w:val="none" w:sz="0" w:space="0" w:color="auto"/>
                    <w:bottom w:val="none" w:sz="0" w:space="0" w:color="auto"/>
                    <w:right w:val="none" w:sz="0" w:space="0" w:color="auto"/>
                  </w:divBdr>
                  <w:divsChild>
                    <w:div w:id="14237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1871">
      <w:bodyDiv w:val="1"/>
      <w:marLeft w:val="0"/>
      <w:marRight w:val="0"/>
      <w:marTop w:val="0"/>
      <w:marBottom w:val="0"/>
      <w:divBdr>
        <w:top w:val="none" w:sz="0" w:space="0" w:color="auto"/>
        <w:left w:val="none" w:sz="0" w:space="0" w:color="auto"/>
        <w:bottom w:val="none" w:sz="0" w:space="0" w:color="auto"/>
        <w:right w:val="none" w:sz="0" w:space="0" w:color="auto"/>
      </w:divBdr>
    </w:div>
    <w:div w:id="1608656243">
      <w:bodyDiv w:val="1"/>
      <w:marLeft w:val="0"/>
      <w:marRight w:val="0"/>
      <w:marTop w:val="0"/>
      <w:marBottom w:val="0"/>
      <w:divBdr>
        <w:top w:val="none" w:sz="0" w:space="0" w:color="auto"/>
        <w:left w:val="none" w:sz="0" w:space="0" w:color="auto"/>
        <w:bottom w:val="none" w:sz="0" w:space="0" w:color="auto"/>
        <w:right w:val="none" w:sz="0" w:space="0" w:color="auto"/>
      </w:divBdr>
      <w:divsChild>
        <w:div w:id="1127699941">
          <w:marLeft w:val="0"/>
          <w:marRight w:val="0"/>
          <w:marTop w:val="0"/>
          <w:marBottom w:val="0"/>
          <w:divBdr>
            <w:top w:val="none" w:sz="0" w:space="0" w:color="auto"/>
            <w:left w:val="none" w:sz="0" w:space="0" w:color="auto"/>
            <w:bottom w:val="none" w:sz="0" w:space="0" w:color="auto"/>
            <w:right w:val="none" w:sz="0" w:space="0" w:color="auto"/>
          </w:divBdr>
          <w:divsChild>
            <w:div w:id="1774397838">
              <w:marLeft w:val="0"/>
              <w:marRight w:val="0"/>
              <w:marTop w:val="0"/>
              <w:marBottom w:val="0"/>
              <w:divBdr>
                <w:top w:val="none" w:sz="0" w:space="0" w:color="auto"/>
                <w:left w:val="none" w:sz="0" w:space="0" w:color="auto"/>
                <w:bottom w:val="none" w:sz="0" w:space="0" w:color="auto"/>
                <w:right w:val="none" w:sz="0" w:space="0" w:color="auto"/>
              </w:divBdr>
              <w:divsChild>
                <w:div w:id="1907450176">
                  <w:marLeft w:val="0"/>
                  <w:marRight w:val="0"/>
                  <w:marTop w:val="0"/>
                  <w:marBottom w:val="0"/>
                  <w:divBdr>
                    <w:top w:val="none" w:sz="0" w:space="0" w:color="auto"/>
                    <w:left w:val="none" w:sz="0" w:space="0" w:color="auto"/>
                    <w:bottom w:val="none" w:sz="0" w:space="0" w:color="auto"/>
                    <w:right w:val="none" w:sz="0" w:space="0" w:color="auto"/>
                  </w:divBdr>
                  <w:divsChild>
                    <w:div w:id="2141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967671">
      <w:bodyDiv w:val="1"/>
      <w:marLeft w:val="0"/>
      <w:marRight w:val="0"/>
      <w:marTop w:val="0"/>
      <w:marBottom w:val="0"/>
      <w:divBdr>
        <w:top w:val="none" w:sz="0" w:space="0" w:color="auto"/>
        <w:left w:val="none" w:sz="0" w:space="0" w:color="auto"/>
        <w:bottom w:val="none" w:sz="0" w:space="0" w:color="auto"/>
        <w:right w:val="none" w:sz="0" w:space="0" w:color="auto"/>
      </w:divBdr>
    </w:div>
    <w:div w:id="1643777815">
      <w:bodyDiv w:val="1"/>
      <w:marLeft w:val="0"/>
      <w:marRight w:val="0"/>
      <w:marTop w:val="0"/>
      <w:marBottom w:val="0"/>
      <w:divBdr>
        <w:top w:val="none" w:sz="0" w:space="0" w:color="auto"/>
        <w:left w:val="none" w:sz="0" w:space="0" w:color="auto"/>
        <w:bottom w:val="none" w:sz="0" w:space="0" w:color="auto"/>
        <w:right w:val="none" w:sz="0" w:space="0" w:color="auto"/>
      </w:divBdr>
    </w:div>
    <w:div w:id="1687903131">
      <w:bodyDiv w:val="1"/>
      <w:marLeft w:val="0"/>
      <w:marRight w:val="0"/>
      <w:marTop w:val="0"/>
      <w:marBottom w:val="0"/>
      <w:divBdr>
        <w:top w:val="none" w:sz="0" w:space="0" w:color="auto"/>
        <w:left w:val="none" w:sz="0" w:space="0" w:color="auto"/>
        <w:bottom w:val="none" w:sz="0" w:space="0" w:color="auto"/>
        <w:right w:val="none" w:sz="0" w:space="0" w:color="auto"/>
      </w:divBdr>
    </w:div>
    <w:div w:id="1758941146">
      <w:bodyDiv w:val="1"/>
      <w:marLeft w:val="0"/>
      <w:marRight w:val="0"/>
      <w:marTop w:val="0"/>
      <w:marBottom w:val="0"/>
      <w:divBdr>
        <w:top w:val="none" w:sz="0" w:space="0" w:color="auto"/>
        <w:left w:val="none" w:sz="0" w:space="0" w:color="auto"/>
        <w:bottom w:val="none" w:sz="0" w:space="0" w:color="auto"/>
        <w:right w:val="none" w:sz="0" w:space="0" w:color="auto"/>
      </w:divBdr>
      <w:divsChild>
        <w:div w:id="446238680">
          <w:marLeft w:val="0"/>
          <w:marRight w:val="0"/>
          <w:marTop w:val="0"/>
          <w:marBottom w:val="0"/>
          <w:divBdr>
            <w:top w:val="none" w:sz="0" w:space="0" w:color="auto"/>
            <w:left w:val="none" w:sz="0" w:space="0" w:color="auto"/>
            <w:bottom w:val="none" w:sz="0" w:space="0" w:color="auto"/>
            <w:right w:val="none" w:sz="0" w:space="0" w:color="auto"/>
          </w:divBdr>
          <w:divsChild>
            <w:div w:id="287708462">
              <w:marLeft w:val="0"/>
              <w:marRight w:val="0"/>
              <w:marTop w:val="0"/>
              <w:marBottom w:val="0"/>
              <w:divBdr>
                <w:top w:val="none" w:sz="0" w:space="0" w:color="auto"/>
                <w:left w:val="none" w:sz="0" w:space="0" w:color="auto"/>
                <w:bottom w:val="none" w:sz="0" w:space="0" w:color="auto"/>
                <w:right w:val="none" w:sz="0" w:space="0" w:color="auto"/>
              </w:divBdr>
              <w:divsChild>
                <w:div w:id="941496936">
                  <w:marLeft w:val="0"/>
                  <w:marRight w:val="0"/>
                  <w:marTop w:val="0"/>
                  <w:marBottom w:val="0"/>
                  <w:divBdr>
                    <w:top w:val="none" w:sz="0" w:space="0" w:color="auto"/>
                    <w:left w:val="none" w:sz="0" w:space="0" w:color="auto"/>
                    <w:bottom w:val="none" w:sz="0" w:space="0" w:color="auto"/>
                    <w:right w:val="none" w:sz="0" w:space="0" w:color="auto"/>
                  </w:divBdr>
                  <w:divsChild>
                    <w:div w:id="8169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6407">
      <w:bodyDiv w:val="1"/>
      <w:marLeft w:val="0"/>
      <w:marRight w:val="0"/>
      <w:marTop w:val="0"/>
      <w:marBottom w:val="0"/>
      <w:divBdr>
        <w:top w:val="none" w:sz="0" w:space="0" w:color="auto"/>
        <w:left w:val="none" w:sz="0" w:space="0" w:color="auto"/>
        <w:bottom w:val="none" w:sz="0" w:space="0" w:color="auto"/>
        <w:right w:val="none" w:sz="0" w:space="0" w:color="auto"/>
      </w:divBdr>
    </w:div>
    <w:div w:id="1865049187">
      <w:bodyDiv w:val="1"/>
      <w:marLeft w:val="0"/>
      <w:marRight w:val="0"/>
      <w:marTop w:val="0"/>
      <w:marBottom w:val="0"/>
      <w:divBdr>
        <w:top w:val="none" w:sz="0" w:space="0" w:color="auto"/>
        <w:left w:val="none" w:sz="0" w:space="0" w:color="auto"/>
        <w:bottom w:val="none" w:sz="0" w:space="0" w:color="auto"/>
        <w:right w:val="none" w:sz="0" w:space="0" w:color="auto"/>
      </w:divBdr>
    </w:div>
    <w:div w:id="1892224514">
      <w:bodyDiv w:val="1"/>
      <w:marLeft w:val="0"/>
      <w:marRight w:val="0"/>
      <w:marTop w:val="0"/>
      <w:marBottom w:val="0"/>
      <w:divBdr>
        <w:top w:val="none" w:sz="0" w:space="0" w:color="auto"/>
        <w:left w:val="none" w:sz="0" w:space="0" w:color="auto"/>
        <w:bottom w:val="none" w:sz="0" w:space="0" w:color="auto"/>
        <w:right w:val="none" w:sz="0" w:space="0" w:color="auto"/>
      </w:divBdr>
    </w:div>
    <w:div w:id="2017226456">
      <w:bodyDiv w:val="1"/>
      <w:marLeft w:val="0"/>
      <w:marRight w:val="0"/>
      <w:marTop w:val="0"/>
      <w:marBottom w:val="0"/>
      <w:divBdr>
        <w:top w:val="none" w:sz="0" w:space="0" w:color="auto"/>
        <w:left w:val="none" w:sz="0" w:space="0" w:color="auto"/>
        <w:bottom w:val="none" w:sz="0" w:space="0" w:color="auto"/>
        <w:right w:val="none" w:sz="0" w:space="0" w:color="auto"/>
      </w:divBdr>
      <w:divsChild>
        <w:div w:id="1215774584">
          <w:marLeft w:val="0"/>
          <w:marRight w:val="0"/>
          <w:marTop w:val="0"/>
          <w:marBottom w:val="0"/>
          <w:divBdr>
            <w:top w:val="none" w:sz="0" w:space="0" w:color="auto"/>
            <w:left w:val="none" w:sz="0" w:space="0" w:color="auto"/>
            <w:bottom w:val="none" w:sz="0" w:space="0" w:color="auto"/>
            <w:right w:val="none" w:sz="0" w:space="0" w:color="auto"/>
          </w:divBdr>
          <w:divsChild>
            <w:div w:id="118183093">
              <w:marLeft w:val="0"/>
              <w:marRight w:val="0"/>
              <w:marTop w:val="0"/>
              <w:marBottom w:val="0"/>
              <w:divBdr>
                <w:top w:val="none" w:sz="0" w:space="0" w:color="auto"/>
                <w:left w:val="none" w:sz="0" w:space="0" w:color="auto"/>
                <w:bottom w:val="none" w:sz="0" w:space="0" w:color="auto"/>
                <w:right w:val="none" w:sz="0" w:space="0" w:color="auto"/>
              </w:divBdr>
              <w:divsChild>
                <w:div w:id="1795949939">
                  <w:marLeft w:val="0"/>
                  <w:marRight w:val="0"/>
                  <w:marTop w:val="0"/>
                  <w:marBottom w:val="0"/>
                  <w:divBdr>
                    <w:top w:val="none" w:sz="0" w:space="0" w:color="auto"/>
                    <w:left w:val="none" w:sz="0" w:space="0" w:color="auto"/>
                    <w:bottom w:val="none" w:sz="0" w:space="0" w:color="auto"/>
                    <w:right w:val="none" w:sz="0" w:space="0" w:color="auto"/>
                  </w:divBdr>
                  <w:divsChild>
                    <w:div w:id="10394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4315/jfp-20-126" TargetMode="External"/><Relationship Id="rId13" Type="http://schemas.openxmlformats.org/officeDocument/2006/relationships/hyperlink" Target="https://confluence.cornell.edu/display/FOODSAFETY/Salmonella+Typhimurium" TargetMode="External"/><Relationship Id="rId18" Type="http://schemas.openxmlformats.org/officeDocument/2006/relationships/hyperlink" Target="https://www.sciencedirect.com/journal/poultry-science/vol/98/issue/12" TargetMode="External"/><Relationship Id="rId3" Type="http://schemas.openxmlformats.org/officeDocument/2006/relationships/hyperlink" Target="https://www.cdc.gov/foodsafety/ifsac/pdf/P19-2019-report-TriAgency-508.pdf" TargetMode="External"/><Relationship Id="rId21" Type="http://schemas.openxmlformats.org/officeDocument/2006/relationships/hyperlink" Target="https://onlinelibrary.wiley.com/doi/full/10.1111/1541-4337.12001" TargetMode="External"/><Relationship Id="rId7" Type="http://schemas.openxmlformats.org/officeDocument/2006/relationships/hyperlink" Target="https://consumerfed.org/testimonial/cfa-opposes-proposed-hog-slaughter-rule/" TargetMode="External"/><Relationship Id="rId12" Type="http://schemas.openxmlformats.org/officeDocument/2006/relationships/hyperlink" Target="https://www.fsis.usda.gov/science-data/data-sets-visualizations/microbiology/microbiological-testing-program-rte-meat-and-0" TargetMode="External"/><Relationship Id="rId17" Type="http://schemas.openxmlformats.org/officeDocument/2006/relationships/hyperlink" Target="https://www.mpi.govt.nz/dmsdocument/35265-discussion-paper-review-of-the-campylobacter-regulatory-limits-for-meat-chickens-pdf" TargetMode="External"/><Relationship Id="rId2" Type="http://schemas.openxmlformats.org/officeDocument/2006/relationships/hyperlink" Target="http://www.foodsafetynews.com/2015/01/salmonella-costs-the-us-3-7-billion-per-year-among-other-costly-pathogens/" TargetMode="External"/><Relationship Id="rId16" Type="http://schemas.openxmlformats.org/officeDocument/2006/relationships/hyperlink" Target="https://www.foodprotection.org/files/food-protection-trends/NovDec-14-McEntire.pdf" TargetMode="External"/><Relationship Id="rId20" Type="http://schemas.openxmlformats.org/officeDocument/2006/relationships/hyperlink" Target="https://www.fsis.usda.gov/sites/default/files/media_file/2020-07/6420.2.pdf" TargetMode="External"/><Relationship Id="rId1" Type="http://schemas.openxmlformats.org/officeDocument/2006/relationships/hyperlink" Target="https://wwwnc.cdc.gov/eid/article/19/3/11-1866-t1" TargetMode="External"/><Relationship Id="rId6" Type="http://schemas.openxmlformats.org/officeDocument/2006/relationships/hyperlink" Target="https://www.provisioneronline.com/articles/111916-antimicrobial-spraying-is-serious-business" TargetMode="External"/><Relationship Id="rId11" Type="http://schemas.openxmlformats.org/officeDocument/2006/relationships/hyperlink" Target="https://www.fsis.usda.gov/sites/default/files/media_file/2022-02/Pork_Salmonella_Performance_Standards_Risk_Assessment_April_8_2020_Feb_8_2022.pdf" TargetMode="External"/><Relationship Id="rId5" Type="http://schemas.openxmlformats.org/officeDocument/2006/relationships/hyperlink" Target="https://www.fsis.usda.gov/sites/default/files/media_file/2020-09/Coop_Agree_09-2003.pdf" TargetMode="External"/><Relationship Id="rId15" Type="http://schemas.openxmlformats.org/officeDocument/2006/relationships/hyperlink" Target="https://www.bi-vetmedica.com/species/swine/products/enterisol_salmonellatc.html" TargetMode="External"/><Relationship Id="rId10" Type="http://schemas.openxmlformats.org/officeDocument/2006/relationships/hyperlink" Target="https://www.ers.usda.gov/publications/pub-details/?pubid=83660" TargetMode="External"/><Relationship Id="rId19" Type="http://schemas.openxmlformats.org/officeDocument/2006/relationships/hyperlink" Target="https://www.sciencedirect.com/science/article/pii/S0032579119580087" TargetMode="External"/><Relationship Id="rId4" Type="http://schemas.openxmlformats.org/officeDocument/2006/relationships/hyperlink" Target="https://www.govinfo.gov/content/pkg/FR-1996-07-25/pdf/FR-1996-07-25.pdf" TargetMode="External"/><Relationship Id="rId9" Type="http://schemas.openxmlformats.org/officeDocument/2006/relationships/hyperlink" Target="https://www.fsis.usda.gov/policy/federal-register-rulemaking/federal-register-notices/changes-salmonella-verification-testing" TargetMode="External"/><Relationship Id="rId14" Type="http://schemas.openxmlformats.org/officeDocument/2006/relationships/hyperlink" Target="https://confluence.cornell.edu/display/FOODSAFETY/Salmonella+Typhimurium" TargetMode="External"/><Relationship Id="rId22" Type="http://schemas.openxmlformats.org/officeDocument/2006/relationships/hyperlink" Target="https://doi.org/10.1038/s41598-022-063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02A5117DE6C448BD798D29BF09A581" ma:contentTypeVersion="10" ma:contentTypeDescription="Create a new document." ma:contentTypeScope="" ma:versionID="8bed7dfc824b88dc1783ef003ec0b9e0">
  <xsd:schema xmlns:xsd="http://www.w3.org/2001/XMLSchema" xmlns:xs="http://www.w3.org/2001/XMLSchema" xmlns:p="http://schemas.microsoft.com/office/2006/metadata/properties" xmlns:ns3="c2e5d9ea-d530-4926-a3d4-0af6c74171e8" targetNamespace="http://schemas.microsoft.com/office/2006/metadata/properties" ma:root="true" ma:fieldsID="9fafa6c23373f8a795e5b646f9a84ee1" ns3:_="">
    <xsd:import namespace="c2e5d9ea-d530-4926-a3d4-0af6c74171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5d9ea-d530-4926-a3d4-0af6c7417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102AC-B22E-4CB3-8BB3-14E939B9A822}">
  <ds:schemaRefs>
    <ds:schemaRef ds:uri="http://schemas.openxmlformats.org/officeDocument/2006/bibliography"/>
  </ds:schemaRefs>
</ds:datastoreItem>
</file>

<file path=customXml/itemProps2.xml><?xml version="1.0" encoding="utf-8"?>
<ds:datastoreItem xmlns:ds="http://schemas.openxmlformats.org/officeDocument/2006/customXml" ds:itemID="{72FB17DE-DE5B-4F3E-877F-FED1E32B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5d9ea-d530-4926-a3d4-0af6c7417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1D1ED-2EC9-4020-9B17-D0F6751AB689}">
  <ds:schemaRefs>
    <ds:schemaRef ds:uri="http://schemas.microsoft.com/sharepoint/v3/contenttype/forms"/>
  </ds:schemaRefs>
</ds:datastoreItem>
</file>

<file path=customXml/itemProps4.xml><?xml version="1.0" encoding="utf-8"?>
<ds:datastoreItem xmlns:ds="http://schemas.openxmlformats.org/officeDocument/2006/customXml" ds:itemID="{4351D22C-55FD-4276-9ACF-D50E02DC7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 Jin Lee</dc:creator>
  <cp:keywords/>
  <dc:description/>
  <cp:lastModifiedBy>Thomas Gremillion</cp:lastModifiedBy>
  <cp:revision>2</cp:revision>
  <cp:lastPrinted>2022-06-01T00:21:00Z</cp:lastPrinted>
  <dcterms:created xsi:type="dcterms:W3CDTF">2022-06-02T22:28:00Z</dcterms:created>
  <dcterms:modified xsi:type="dcterms:W3CDTF">2022-06-02T22:28:00Z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0x0101006402A5117DE6C448BD798D29BF09A581</vt:lpwstr>
  </property>
</Properties>
</file>